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D21" w:rsidRPr="00435066" w:rsidRDefault="00EC6D21" w:rsidP="00EC6D21">
      <w:pPr>
        <w:rPr>
          <w:rFonts w:cstheme="minorHAnsi"/>
        </w:rPr>
      </w:pPr>
      <w:bookmarkStart w:id="0" w:name="_GoBack"/>
      <w:bookmarkEnd w:id="0"/>
    </w:p>
    <w:p w:rsidR="00EC6D21" w:rsidRPr="00435066" w:rsidRDefault="00EC6D21" w:rsidP="00EC6D21">
      <w:pPr>
        <w:rPr>
          <w:rFonts w:cstheme="minorHAnsi"/>
        </w:rPr>
      </w:pPr>
    </w:p>
    <w:p w:rsidR="00EC6D21" w:rsidRPr="00435066" w:rsidRDefault="00EC6D21" w:rsidP="00EC6D21">
      <w:pPr>
        <w:rPr>
          <w:rFonts w:cstheme="minorHAnsi"/>
        </w:rPr>
      </w:pPr>
    </w:p>
    <w:p w:rsidR="00EC6D21" w:rsidRPr="00435066" w:rsidRDefault="00EC6D21" w:rsidP="00EC6D21">
      <w:pPr>
        <w:rPr>
          <w:rFonts w:cstheme="minorHAnsi"/>
        </w:rPr>
      </w:pPr>
      <w:r w:rsidRPr="00435066">
        <w:rPr>
          <w:rFonts w:cstheme="minorHAnsi"/>
          <w:noProof/>
        </w:rPr>
        <w:drawing>
          <wp:anchor distT="0" distB="0" distL="114300" distR="114300" simplePos="0" relativeHeight="251659264" behindDoc="1" locked="0" layoutInCell="1" allowOverlap="1" wp14:anchorId="10CBA0B0" wp14:editId="6EE0295F">
            <wp:simplePos x="0" y="0"/>
            <wp:positionH relativeFrom="column">
              <wp:posOffset>2287557</wp:posOffset>
            </wp:positionH>
            <wp:positionV relativeFrom="paragraph">
              <wp:posOffset>-330284</wp:posOffset>
            </wp:positionV>
            <wp:extent cx="2150110" cy="676275"/>
            <wp:effectExtent l="0" t="0" r="2540" b="9525"/>
            <wp:wrapNone/>
            <wp:docPr id="2" name="Picture 2" descr="Huron_Theology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ron_Theology_Horiz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011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21" w:rsidRPr="00435066" w:rsidRDefault="00EC6D21" w:rsidP="00EC6D21">
      <w:pPr>
        <w:jc w:val="center"/>
        <w:rPr>
          <w:rFonts w:cstheme="minorHAnsi"/>
        </w:rPr>
      </w:pPr>
    </w:p>
    <w:p w:rsidR="00EC6D21" w:rsidRPr="00435066" w:rsidRDefault="00EC6D21" w:rsidP="00EC6D21">
      <w:pPr>
        <w:rPr>
          <w:rFonts w:cstheme="minorHAnsi"/>
        </w:rPr>
      </w:pPr>
    </w:p>
    <w:p w:rsidR="00EC6D21" w:rsidRPr="00435066" w:rsidRDefault="00EC6D21" w:rsidP="00EC6D21">
      <w:pPr>
        <w:rPr>
          <w:rFonts w:cstheme="minorHAnsi"/>
          <w:b/>
          <w:bCs/>
        </w:rPr>
      </w:pPr>
      <w:r w:rsidRPr="00435066">
        <w:rPr>
          <w:rFonts w:cstheme="minorHAnsi"/>
          <w:b/>
          <w:bCs/>
        </w:rPr>
        <w:t>Course Outline:  Winter 2022</w:t>
      </w:r>
    </w:p>
    <w:p w:rsidR="00EC6D21" w:rsidRPr="00435066" w:rsidRDefault="00EC6D21" w:rsidP="00EC6D21">
      <w:pPr>
        <w:rPr>
          <w:rFonts w:cstheme="minorHAnsi"/>
          <w:b/>
          <w:bCs/>
        </w:rPr>
      </w:pPr>
      <w:r w:rsidRPr="00435066">
        <w:rPr>
          <w:rFonts w:cstheme="minorHAnsi"/>
          <w:b/>
          <w:bCs/>
        </w:rPr>
        <w:t>TH 9505B</w:t>
      </w:r>
    </w:p>
    <w:p w:rsidR="00EC6D21" w:rsidRPr="00435066" w:rsidRDefault="00EC6D21" w:rsidP="00EC6D21">
      <w:pPr>
        <w:rPr>
          <w:rFonts w:cstheme="minorHAnsi"/>
          <w:b/>
          <w:bCs/>
        </w:rPr>
      </w:pPr>
      <w:r w:rsidRPr="00435066">
        <w:rPr>
          <w:rFonts w:cstheme="minorHAnsi"/>
          <w:b/>
          <w:bCs/>
        </w:rPr>
        <w:t>Islamic Law &amp; Legal Theory</w:t>
      </w:r>
    </w:p>
    <w:p w:rsidR="00EC6D21" w:rsidRPr="00435066" w:rsidRDefault="00EC6D21" w:rsidP="00EC6D21">
      <w:pPr>
        <w:rPr>
          <w:rFonts w:cstheme="minorHAnsi"/>
        </w:rPr>
      </w:pPr>
    </w:p>
    <w:p w:rsidR="00EC6D21" w:rsidRPr="00435066" w:rsidRDefault="00EC6D21" w:rsidP="00EC6D21">
      <w:pPr>
        <w:rPr>
          <w:rFonts w:cstheme="minorHAnsi"/>
        </w:rPr>
      </w:pPr>
    </w:p>
    <w:p w:rsidR="00EC6D21" w:rsidRPr="00435066" w:rsidRDefault="00EC6D21" w:rsidP="00EC6D21">
      <w:pPr>
        <w:rPr>
          <w:rFonts w:cstheme="minorHAnsi"/>
          <w:bCs/>
        </w:rPr>
      </w:pPr>
      <w:r w:rsidRPr="00435066">
        <w:rPr>
          <w:rFonts w:cstheme="minorHAnsi"/>
          <w:b/>
          <w:bCs/>
        </w:rPr>
        <w:t xml:space="preserve">Instructor:  </w:t>
      </w:r>
      <w:r w:rsidRPr="00435066">
        <w:rPr>
          <w:rFonts w:cstheme="minorHAnsi"/>
          <w:b/>
          <w:bCs/>
        </w:rPr>
        <w:tab/>
      </w:r>
      <w:r w:rsidRPr="00435066">
        <w:rPr>
          <w:rFonts w:cstheme="minorHAnsi"/>
          <w:bCs/>
        </w:rPr>
        <w:t>Ingrid Mattson, PhD</w:t>
      </w:r>
    </w:p>
    <w:p w:rsidR="00EC6D21" w:rsidRPr="00435066" w:rsidRDefault="00EC6D21" w:rsidP="00EC6D21">
      <w:pPr>
        <w:rPr>
          <w:rFonts w:cstheme="minorHAnsi"/>
          <w:bCs/>
        </w:rPr>
      </w:pPr>
      <w:r w:rsidRPr="00435066">
        <w:rPr>
          <w:rFonts w:cstheme="minorHAnsi"/>
          <w:bCs/>
        </w:rPr>
        <w:tab/>
      </w:r>
      <w:r w:rsidRPr="00435066">
        <w:rPr>
          <w:rFonts w:cstheme="minorHAnsi"/>
          <w:bCs/>
        </w:rPr>
        <w:tab/>
        <w:t>London and Windsor Community Chair in Islamic Studies</w:t>
      </w:r>
    </w:p>
    <w:p w:rsidR="00EC6D21" w:rsidRPr="00435066" w:rsidRDefault="00EC6D21" w:rsidP="00EC6D21">
      <w:pPr>
        <w:ind w:left="720" w:firstLine="720"/>
        <w:rPr>
          <w:rFonts w:cstheme="minorHAnsi"/>
          <w:bCs/>
        </w:rPr>
      </w:pPr>
      <w:r w:rsidRPr="00435066">
        <w:rPr>
          <w:rFonts w:cstheme="minorHAnsi"/>
          <w:b/>
          <w:bCs/>
        </w:rPr>
        <w:t xml:space="preserve"> </w:t>
      </w:r>
      <w:hyperlink r:id="rId6" w:history="1">
        <w:r w:rsidRPr="00435066">
          <w:rPr>
            <w:rStyle w:val="Hyperlink"/>
            <w:rFonts w:cstheme="minorHAnsi"/>
            <w:bCs/>
            <w:color w:val="auto"/>
          </w:rPr>
          <w:t>imattson@uwo.ca</w:t>
        </w:r>
      </w:hyperlink>
    </w:p>
    <w:p w:rsidR="00EC6D21" w:rsidRPr="00435066" w:rsidRDefault="00EC6D21" w:rsidP="00EC6D21">
      <w:pPr>
        <w:rPr>
          <w:rFonts w:cstheme="minorHAnsi"/>
          <w:bCs/>
        </w:rPr>
      </w:pPr>
      <w:r w:rsidRPr="00435066">
        <w:rPr>
          <w:rFonts w:cstheme="minorHAnsi"/>
          <w:bCs/>
        </w:rPr>
        <w:tab/>
      </w:r>
      <w:r w:rsidRPr="00435066">
        <w:rPr>
          <w:rFonts w:cstheme="minorHAnsi"/>
          <w:bCs/>
        </w:rPr>
        <w:tab/>
        <w:t>Department of Theology, Room A227</w:t>
      </w:r>
    </w:p>
    <w:p w:rsidR="00EC6D21" w:rsidRPr="00435066" w:rsidRDefault="00EC6D21" w:rsidP="00EC6D21">
      <w:pPr>
        <w:rPr>
          <w:rFonts w:cstheme="minorHAnsi"/>
          <w:bCs/>
        </w:rPr>
      </w:pPr>
      <w:r w:rsidRPr="00435066">
        <w:rPr>
          <w:rFonts w:cstheme="minorHAnsi"/>
          <w:bCs/>
        </w:rPr>
        <w:tab/>
      </w:r>
      <w:r w:rsidRPr="00435066">
        <w:rPr>
          <w:rFonts w:cstheme="minorHAnsi"/>
          <w:bCs/>
        </w:rPr>
        <w:tab/>
        <w:t>519-438-7224, ext. 269</w:t>
      </w:r>
    </w:p>
    <w:p w:rsidR="00EC6D21" w:rsidRPr="00435066" w:rsidRDefault="00EC6D21" w:rsidP="00EC6D21">
      <w:pPr>
        <w:rPr>
          <w:rFonts w:cstheme="minorHAnsi"/>
          <w:bCs/>
        </w:rPr>
      </w:pPr>
      <w:r w:rsidRPr="00435066">
        <w:rPr>
          <w:rFonts w:cstheme="minorHAnsi"/>
          <w:bCs/>
        </w:rPr>
        <w:tab/>
      </w:r>
      <w:r w:rsidRPr="00435066">
        <w:rPr>
          <w:rFonts w:cstheme="minorHAnsi"/>
          <w:bCs/>
        </w:rPr>
        <w:tab/>
        <w:t>*Note that email is the preferred method of communication.</w:t>
      </w:r>
    </w:p>
    <w:p w:rsidR="00EC6D21" w:rsidRPr="00435066" w:rsidRDefault="00EC6D21" w:rsidP="00EC6D21">
      <w:pPr>
        <w:rPr>
          <w:rFonts w:cstheme="minorHAnsi"/>
          <w:b/>
          <w:bCs/>
        </w:rPr>
      </w:pPr>
    </w:p>
    <w:p w:rsidR="00EC6D21" w:rsidRPr="00435066" w:rsidRDefault="00EC6D21" w:rsidP="00EC6D21">
      <w:pPr>
        <w:rPr>
          <w:rFonts w:cstheme="minorHAnsi"/>
        </w:rPr>
      </w:pPr>
      <w:r w:rsidRPr="00435066">
        <w:rPr>
          <w:rFonts w:cstheme="minorHAnsi"/>
          <w:b/>
          <w:bCs/>
        </w:rPr>
        <w:t>Date &amp; Time:</w:t>
      </w:r>
      <w:r w:rsidRPr="00435066">
        <w:rPr>
          <w:rFonts w:cstheme="minorHAnsi"/>
        </w:rPr>
        <w:t xml:space="preserve"> Wednesdays, 6:00 – 8:30 pm</w:t>
      </w:r>
      <w:r w:rsidRPr="00435066">
        <w:rPr>
          <w:rFonts w:cstheme="minorHAnsi"/>
        </w:rPr>
        <w:tab/>
        <w:t>Room: W104/Remote</w:t>
      </w:r>
    </w:p>
    <w:p w:rsidR="00EC6D21" w:rsidRPr="00435066" w:rsidRDefault="00EC6D21" w:rsidP="00EC6D21">
      <w:pPr>
        <w:rPr>
          <w:rFonts w:cstheme="minorHAnsi"/>
        </w:rPr>
      </w:pPr>
    </w:p>
    <w:p w:rsidR="00EC6D21" w:rsidRPr="00435066" w:rsidRDefault="00EC6D21" w:rsidP="00EC6D21">
      <w:pPr>
        <w:rPr>
          <w:rFonts w:cstheme="minorHAnsi"/>
        </w:rPr>
      </w:pPr>
      <w:r w:rsidRPr="00435066">
        <w:rPr>
          <w:rFonts w:cstheme="minorHAnsi"/>
          <w:b/>
          <w:bCs/>
        </w:rPr>
        <w:t xml:space="preserve">Prerequisites: </w:t>
      </w:r>
      <w:r w:rsidRPr="00435066">
        <w:rPr>
          <w:rFonts w:cstheme="minorHAnsi"/>
        </w:rPr>
        <w:t xml:space="preserve"> At least one course in Islamic History and one course in Islamic Ethics or Qur’an. If you are unsure if you fulfill the prerequisite, contact the instructor.</w:t>
      </w:r>
    </w:p>
    <w:p w:rsidR="00EC6D21" w:rsidRPr="00435066" w:rsidRDefault="00EC6D21" w:rsidP="00EC6D21">
      <w:pPr>
        <w:rPr>
          <w:rFonts w:cstheme="minorHAnsi"/>
        </w:rPr>
      </w:pPr>
    </w:p>
    <w:p w:rsidR="00EC6D21" w:rsidRPr="00435066" w:rsidRDefault="00EC6D21" w:rsidP="00EC6D21">
      <w:pPr>
        <w:autoSpaceDE w:val="0"/>
        <w:autoSpaceDN w:val="0"/>
        <w:adjustRightInd w:val="0"/>
        <w:ind w:right="-180"/>
        <w:rPr>
          <w:rFonts w:cstheme="minorHAnsi"/>
        </w:rPr>
      </w:pPr>
      <w:r w:rsidRPr="00435066">
        <w:rPr>
          <w:rFonts w:cstheme="minorHAnsi"/>
          <w:b/>
          <w:bCs/>
        </w:rPr>
        <w:t>Description:</w:t>
      </w:r>
      <w:r w:rsidRPr="00435066">
        <w:rPr>
          <w:rFonts w:cstheme="minorHAnsi"/>
        </w:rPr>
        <w:t xml:space="preserve"> This course will provide a critical overview of the history, practice and principles of Islamic law.  We begin by examining the origins of Islamic law and the development of the classical schools of jurisprudence. Next we will discuss the nature of pre-modern legal institutions, especially the courts and legal education.  In following classes, we will explore the substance of classical Islamic law, especially in the areas of family, finance and international relations and then the impact of colonialism and modernity on Islamic legal discourses and institutions. Finally, we discuss the way in which Islamic law is observed in contemporary Muslim communities.  </w:t>
      </w:r>
    </w:p>
    <w:p w:rsidR="00EC6D21" w:rsidRPr="00435066" w:rsidRDefault="00EC6D21" w:rsidP="00EC6D21">
      <w:pPr>
        <w:autoSpaceDE w:val="0"/>
        <w:autoSpaceDN w:val="0"/>
        <w:adjustRightInd w:val="0"/>
        <w:ind w:right="-180"/>
        <w:rPr>
          <w:rFonts w:cstheme="minorHAnsi"/>
        </w:rPr>
      </w:pPr>
    </w:p>
    <w:p w:rsidR="00EC6D21" w:rsidRPr="00435066" w:rsidRDefault="00EC6D21" w:rsidP="00EC6D21">
      <w:pPr>
        <w:ind w:right="-180"/>
        <w:rPr>
          <w:rFonts w:cstheme="minorHAnsi"/>
          <w:b/>
        </w:rPr>
      </w:pPr>
      <w:r w:rsidRPr="00435066">
        <w:rPr>
          <w:rFonts w:cstheme="minorHAnsi"/>
          <w:b/>
        </w:rPr>
        <w:t>Learning Outcomes</w:t>
      </w:r>
    </w:p>
    <w:p w:rsidR="00EC6D21" w:rsidRPr="00435066" w:rsidRDefault="00EC6D21" w:rsidP="00EC6D21">
      <w:pPr>
        <w:pStyle w:val="ListParagraph"/>
        <w:numPr>
          <w:ilvl w:val="0"/>
          <w:numId w:val="1"/>
        </w:numPr>
        <w:ind w:right="-180"/>
        <w:rPr>
          <w:rFonts w:asciiTheme="minorHAnsi" w:hAnsiTheme="minorHAnsi" w:cstheme="minorHAnsi"/>
          <w:sz w:val="22"/>
          <w:szCs w:val="22"/>
        </w:rPr>
      </w:pPr>
      <w:r w:rsidRPr="00435066">
        <w:rPr>
          <w:rFonts w:asciiTheme="minorHAnsi" w:hAnsiTheme="minorHAnsi" w:cstheme="minorHAnsi"/>
          <w:sz w:val="22"/>
          <w:szCs w:val="22"/>
        </w:rPr>
        <w:t>To understand the terminology and technical language of Islamic legal theory at an introductory level.</w:t>
      </w:r>
    </w:p>
    <w:p w:rsidR="00EC6D21" w:rsidRPr="00435066" w:rsidRDefault="00EC6D21" w:rsidP="00EC6D21">
      <w:pPr>
        <w:pStyle w:val="ListParagraph"/>
        <w:numPr>
          <w:ilvl w:val="0"/>
          <w:numId w:val="1"/>
        </w:numPr>
        <w:ind w:right="-180"/>
        <w:rPr>
          <w:rFonts w:asciiTheme="minorHAnsi" w:hAnsiTheme="minorHAnsi" w:cstheme="minorHAnsi"/>
          <w:sz w:val="22"/>
          <w:szCs w:val="22"/>
        </w:rPr>
      </w:pPr>
      <w:r w:rsidRPr="00435066">
        <w:rPr>
          <w:rFonts w:asciiTheme="minorHAnsi" w:hAnsiTheme="minorHAnsi" w:cstheme="minorHAnsi"/>
          <w:sz w:val="22"/>
          <w:szCs w:val="22"/>
        </w:rPr>
        <w:t>To be able to describe how the Qur’an, the Prophet Muhammad, other exemplary figures, custom, reason, and other sources and influences are engaged by Muslims to construct law.</w:t>
      </w:r>
    </w:p>
    <w:p w:rsidR="00EC6D21" w:rsidRPr="00435066" w:rsidRDefault="00EC6D21" w:rsidP="00EC6D21">
      <w:pPr>
        <w:pStyle w:val="ListParagraph"/>
        <w:numPr>
          <w:ilvl w:val="0"/>
          <w:numId w:val="1"/>
        </w:numPr>
        <w:ind w:right="-180"/>
        <w:rPr>
          <w:rFonts w:asciiTheme="minorHAnsi" w:hAnsiTheme="minorHAnsi" w:cstheme="minorHAnsi"/>
          <w:sz w:val="22"/>
          <w:szCs w:val="22"/>
        </w:rPr>
      </w:pPr>
      <w:r w:rsidRPr="00435066">
        <w:rPr>
          <w:rFonts w:asciiTheme="minorHAnsi" w:hAnsiTheme="minorHAnsi" w:cstheme="minorHAnsi"/>
          <w:sz w:val="22"/>
          <w:szCs w:val="22"/>
        </w:rPr>
        <w:t>To be able to identify the major legal schools, the reasons for their development and key features of their identity and methodology.</w:t>
      </w:r>
    </w:p>
    <w:p w:rsidR="00EC6D21" w:rsidRPr="00435066" w:rsidRDefault="00EC6D21" w:rsidP="00EC6D21">
      <w:pPr>
        <w:pStyle w:val="ListParagraph"/>
        <w:numPr>
          <w:ilvl w:val="0"/>
          <w:numId w:val="1"/>
        </w:numPr>
        <w:ind w:right="-180"/>
        <w:rPr>
          <w:rFonts w:asciiTheme="minorHAnsi" w:hAnsiTheme="minorHAnsi" w:cstheme="minorHAnsi"/>
          <w:sz w:val="22"/>
          <w:szCs w:val="22"/>
        </w:rPr>
      </w:pPr>
      <w:r w:rsidRPr="00435066">
        <w:rPr>
          <w:rFonts w:asciiTheme="minorHAnsi" w:hAnsiTheme="minorHAnsi" w:cstheme="minorHAnsi"/>
          <w:sz w:val="22"/>
          <w:szCs w:val="22"/>
        </w:rPr>
        <w:t>To be able to describe the emergence of Islamic legal institutions, including personnel, and their manifestations in different historical periods and places.</w:t>
      </w:r>
    </w:p>
    <w:p w:rsidR="00EC6D21" w:rsidRPr="00435066" w:rsidRDefault="00EC6D21" w:rsidP="00EC6D21">
      <w:pPr>
        <w:pStyle w:val="ListParagraph"/>
        <w:numPr>
          <w:ilvl w:val="0"/>
          <w:numId w:val="1"/>
        </w:numPr>
        <w:ind w:right="-180"/>
        <w:rPr>
          <w:rFonts w:asciiTheme="minorHAnsi" w:hAnsiTheme="minorHAnsi" w:cstheme="minorHAnsi"/>
          <w:sz w:val="22"/>
          <w:szCs w:val="22"/>
        </w:rPr>
      </w:pPr>
      <w:r w:rsidRPr="00435066">
        <w:rPr>
          <w:rFonts w:asciiTheme="minorHAnsi" w:hAnsiTheme="minorHAnsi" w:cstheme="minorHAnsi"/>
          <w:sz w:val="22"/>
          <w:szCs w:val="22"/>
        </w:rPr>
        <w:t xml:space="preserve">To be able to describe the way executive and judicial authority intersect. </w:t>
      </w:r>
    </w:p>
    <w:p w:rsidR="00EC6D21" w:rsidRPr="00435066" w:rsidRDefault="00EC6D21" w:rsidP="00EC6D21">
      <w:pPr>
        <w:pStyle w:val="ListParagraph"/>
        <w:numPr>
          <w:ilvl w:val="0"/>
          <w:numId w:val="1"/>
        </w:numPr>
        <w:ind w:right="-180"/>
        <w:rPr>
          <w:rFonts w:asciiTheme="minorHAnsi" w:hAnsiTheme="minorHAnsi" w:cstheme="minorHAnsi"/>
          <w:sz w:val="22"/>
          <w:szCs w:val="22"/>
        </w:rPr>
      </w:pPr>
      <w:r w:rsidRPr="00435066">
        <w:rPr>
          <w:rFonts w:asciiTheme="minorHAnsi" w:hAnsiTheme="minorHAnsi" w:cstheme="minorHAnsi"/>
          <w:sz w:val="22"/>
          <w:szCs w:val="22"/>
        </w:rPr>
        <w:t xml:space="preserve">To be able to conduct academic research on topics in Islamic law and legal theory.  </w:t>
      </w:r>
    </w:p>
    <w:p w:rsidR="00EC6D21" w:rsidRPr="00435066" w:rsidRDefault="00EC6D21" w:rsidP="00EC6D21">
      <w:pPr>
        <w:rPr>
          <w:rFonts w:cstheme="minorHAnsi"/>
        </w:rPr>
      </w:pPr>
    </w:p>
    <w:p w:rsidR="00EC6D21" w:rsidRPr="00435066" w:rsidRDefault="00EC6D21" w:rsidP="00EC6D21">
      <w:pPr>
        <w:rPr>
          <w:rFonts w:cstheme="minorHAnsi"/>
          <w:b/>
          <w:bCs/>
        </w:rPr>
      </w:pPr>
      <w:r w:rsidRPr="00435066">
        <w:rPr>
          <w:rFonts w:cstheme="minorHAnsi"/>
          <w:b/>
          <w:bCs/>
        </w:rPr>
        <w:t>Grading</w:t>
      </w:r>
    </w:p>
    <w:p w:rsidR="00EC6D21" w:rsidRPr="00435066" w:rsidRDefault="00EC6D21" w:rsidP="00EC6D21">
      <w:pPr>
        <w:pStyle w:val="ListParagraph"/>
        <w:numPr>
          <w:ilvl w:val="0"/>
          <w:numId w:val="7"/>
        </w:numPr>
        <w:rPr>
          <w:rFonts w:asciiTheme="minorHAnsi" w:hAnsiTheme="minorHAnsi" w:cstheme="minorHAnsi"/>
          <w:sz w:val="22"/>
          <w:szCs w:val="22"/>
        </w:rPr>
      </w:pPr>
      <w:r w:rsidRPr="00435066">
        <w:rPr>
          <w:rFonts w:asciiTheme="minorHAnsi" w:hAnsiTheme="minorHAnsi" w:cstheme="minorHAnsi"/>
          <w:sz w:val="22"/>
          <w:szCs w:val="22"/>
        </w:rPr>
        <w:t>Forum Discussion Questions – 30%</w:t>
      </w:r>
    </w:p>
    <w:p w:rsidR="00EC6D21" w:rsidRPr="00435066" w:rsidRDefault="00EC6D21" w:rsidP="00EC6D21">
      <w:pPr>
        <w:pStyle w:val="ListParagraph"/>
        <w:numPr>
          <w:ilvl w:val="0"/>
          <w:numId w:val="7"/>
        </w:numPr>
        <w:rPr>
          <w:rFonts w:asciiTheme="minorHAnsi" w:hAnsiTheme="minorHAnsi" w:cstheme="minorHAnsi"/>
          <w:sz w:val="22"/>
          <w:szCs w:val="22"/>
        </w:rPr>
      </w:pPr>
      <w:r w:rsidRPr="00435066">
        <w:rPr>
          <w:rFonts w:asciiTheme="minorHAnsi" w:hAnsiTheme="minorHAnsi" w:cstheme="minorHAnsi"/>
          <w:sz w:val="22"/>
          <w:szCs w:val="22"/>
        </w:rPr>
        <w:t>Participation in Class– 20%</w:t>
      </w:r>
    </w:p>
    <w:p w:rsidR="00EC6D21" w:rsidRPr="00435066" w:rsidRDefault="00EC6D21" w:rsidP="00EC6D21">
      <w:pPr>
        <w:pStyle w:val="ListParagraph"/>
        <w:numPr>
          <w:ilvl w:val="0"/>
          <w:numId w:val="7"/>
        </w:numPr>
        <w:rPr>
          <w:rFonts w:asciiTheme="minorHAnsi" w:hAnsiTheme="minorHAnsi" w:cstheme="minorHAnsi"/>
          <w:sz w:val="22"/>
          <w:szCs w:val="22"/>
        </w:rPr>
      </w:pPr>
      <w:r w:rsidRPr="00435066">
        <w:rPr>
          <w:rFonts w:asciiTheme="minorHAnsi" w:hAnsiTheme="minorHAnsi" w:cstheme="minorHAnsi"/>
          <w:sz w:val="22"/>
          <w:szCs w:val="22"/>
        </w:rPr>
        <w:t>Book report: 20%</w:t>
      </w:r>
    </w:p>
    <w:p w:rsidR="00EC6D21" w:rsidRPr="00435066" w:rsidRDefault="00435066" w:rsidP="00EC6D21">
      <w:pPr>
        <w:pStyle w:val="ListParagraph"/>
        <w:numPr>
          <w:ilvl w:val="0"/>
          <w:numId w:val="7"/>
        </w:numPr>
        <w:rPr>
          <w:rFonts w:asciiTheme="minorHAnsi" w:hAnsiTheme="minorHAnsi" w:cstheme="minorHAnsi"/>
          <w:sz w:val="22"/>
          <w:szCs w:val="22"/>
        </w:rPr>
      </w:pPr>
      <w:r w:rsidRPr="00435066">
        <w:rPr>
          <w:rFonts w:asciiTheme="minorHAnsi" w:hAnsiTheme="minorHAnsi" w:cstheme="minorHAnsi"/>
          <w:sz w:val="22"/>
          <w:szCs w:val="22"/>
        </w:rPr>
        <w:t>Final paper</w:t>
      </w:r>
      <w:r w:rsidR="00EC6D21" w:rsidRPr="00435066">
        <w:rPr>
          <w:rFonts w:asciiTheme="minorHAnsi" w:hAnsiTheme="minorHAnsi" w:cstheme="minorHAnsi"/>
          <w:sz w:val="22"/>
          <w:szCs w:val="22"/>
        </w:rPr>
        <w:t>: 30%</w:t>
      </w:r>
    </w:p>
    <w:p w:rsidR="00EC6D21" w:rsidRPr="00435066" w:rsidRDefault="00EC6D21" w:rsidP="00EC6D21">
      <w:pPr>
        <w:rPr>
          <w:rFonts w:cstheme="minorHAnsi"/>
          <w:b/>
          <w:bCs/>
        </w:rPr>
      </w:pPr>
    </w:p>
    <w:p w:rsidR="00EC6D21" w:rsidRPr="00435066" w:rsidRDefault="00EC6D21" w:rsidP="00EC6D21">
      <w:pPr>
        <w:pStyle w:val="BodyTextIndent"/>
        <w:ind w:right="-180" w:firstLine="0"/>
        <w:rPr>
          <w:rFonts w:asciiTheme="minorHAnsi" w:hAnsiTheme="minorHAnsi" w:cstheme="minorHAnsi"/>
          <w:b/>
          <w:bCs/>
          <w:sz w:val="22"/>
          <w:szCs w:val="22"/>
        </w:rPr>
      </w:pPr>
      <w:r w:rsidRPr="00435066">
        <w:rPr>
          <w:rFonts w:asciiTheme="minorHAnsi" w:hAnsiTheme="minorHAnsi" w:cstheme="minorHAnsi"/>
          <w:b/>
          <w:bCs/>
          <w:sz w:val="22"/>
          <w:szCs w:val="22"/>
        </w:rPr>
        <w:t xml:space="preserve">Required Text:  </w:t>
      </w:r>
    </w:p>
    <w:p w:rsidR="00EC6D21" w:rsidRPr="00435066" w:rsidRDefault="00EC6D21" w:rsidP="00435066">
      <w:pPr>
        <w:pStyle w:val="BodyTextIndent"/>
        <w:ind w:left="720" w:right="-180" w:firstLine="0"/>
        <w:rPr>
          <w:rFonts w:asciiTheme="minorHAnsi" w:hAnsiTheme="minorHAnsi" w:cstheme="minorHAnsi"/>
          <w:sz w:val="22"/>
          <w:szCs w:val="22"/>
        </w:rPr>
      </w:pPr>
      <w:proofErr w:type="spellStart"/>
      <w:r w:rsidRPr="00435066">
        <w:rPr>
          <w:rFonts w:asciiTheme="minorHAnsi" w:hAnsiTheme="minorHAnsi" w:cstheme="minorHAnsi"/>
          <w:sz w:val="22"/>
          <w:szCs w:val="22"/>
        </w:rPr>
        <w:t>Wael</w:t>
      </w:r>
      <w:proofErr w:type="spellEnd"/>
      <w:r w:rsidRPr="00435066">
        <w:rPr>
          <w:rFonts w:asciiTheme="minorHAnsi" w:hAnsiTheme="minorHAnsi" w:cstheme="minorHAnsi"/>
          <w:sz w:val="22"/>
          <w:szCs w:val="22"/>
        </w:rPr>
        <w:t xml:space="preserve"> B. </w:t>
      </w:r>
      <w:proofErr w:type="spellStart"/>
      <w:r w:rsidRPr="00435066">
        <w:rPr>
          <w:rFonts w:asciiTheme="minorHAnsi" w:hAnsiTheme="minorHAnsi" w:cstheme="minorHAnsi"/>
          <w:sz w:val="22"/>
          <w:szCs w:val="22"/>
        </w:rPr>
        <w:t>Hallaq</w:t>
      </w:r>
      <w:proofErr w:type="spellEnd"/>
      <w:r w:rsidRPr="00435066">
        <w:rPr>
          <w:rFonts w:asciiTheme="minorHAnsi" w:hAnsiTheme="minorHAnsi" w:cstheme="minorHAnsi"/>
          <w:sz w:val="22"/>
          <w:szCs w:val="22"/>
        </w:rPr>
        <w:t xml:space="preserve">, </w:t>
      </w:r>
      <w:proofErr w:type="spellStart"/>
      <w:r w:rsidRPr="00435066">
        <w:rPr>
          <w:rFonts w:asciiTheme="minorHAnsi" w:hAnsiTheme="minorHAnsi" w:cstheme="minorHAnsi"/>
          <w:i/>
          <w:sz w:val="22"/>
          <w:szCs w:val="22"/>
        </w:rPr>
        <w:t>Sharīʽa</w:t>
      </w:r>
      <w:proofErr w:type="spellEnd"/>
      <w:r w:rsidRPr="00435066">
        <w:rPr>
          <w:rFonts w:asciiTheme="minorHAnsi" w:hAnsiTheme="minorHAnsi" w:cstheme="minorHAnsi"/>
          <w:i/>
          <w:sz w:val="22"/>
          <w:szCs w:val="22"/>
        </w:rPr>
        <w:t xml:space="preserve">: Theory, Practice, Transformations </w:t>
      </w:r>
      <w:r w:rsidRPr="00435066">
        <w:rPr>
          <w:rFonts w:asciiTheme="minorHAnsi" w:hAnsiTheme="minorHAnsi" w:cstheme="minorHAnsi"/>
          <w:sz w:val="22"/>
          <w:szCs w:val="22"/>
        </w:rPr>
        <w:t>(Cambridge University Press, 2009).</w:t>
      </w:r>
    </w:p>
    <w:p w:rsidR="00EC6D21" w:rsidRPr="00435066" w:rsidRDefault="00EC6D21" w:rsidP="00EC6D21">
      <w:pPr>
        <w:rPr>
          <w:rFonts w:cstheme="minorHAnsi"/>
          <w:b/>
          <w:bCs/>
        </w:rPr>
      </w:pPr>
    </w:p>
    <w:p w:rsidR="00EC6D21" w:rsidRPr="003F70DF" w:rsidRDefault="003F70DF" w:rsidP="003F70DF">
      <w:pPr>
        <w:rPr>
          <w:rFonts w:cstheme="minorHAnsi"/>
          <w:b/>
          <w:bCs/>
        </w:rPr>
      </w:pPr>
      <w:r>
        <w:rPr>
          <w:rFonts w:cstheme="minorHAnsi"/>
          <w:b/>
          <w:bCs/>
        </w:rPr>
        <w:lastRenderedPageBreak/>
        <w:t xml:space="preserve">Forum: </w:t>
      </w:r>
      <w:r w:rsidR="00EC6D21" w:rsidRPr="00435066">
        <w:rPr>
          <w:rFonts w:cstheme="minorHAnsi"/>
        </w:rPr>
        <w:t>Each week I will post a list of discussion questions based on next week’s readings. Here are the rules for the forum:</w:t>
      </w:r>
    </w:p>
    <w:p w:rsidR="00EC6D21" w:rsidRPr="00435066" w:rsidRDefault="00EC6D21" w:rsidP="00EC6D21">
      <w:pPr>
        <w:pStyle w:val="ListParagraph"/>
        <w:numPr>
          <w:ilvl w:val="0"/>
          <w:numId w:val="12"/>
        </w:numPr>
        <w:rPr>
          <w:rFonts w:asciiTheme="minorHAnsi" w:hAnsiTheme="minorHAnsi" w:cstheme="minorHAnsi"/>
          <w:sz w:val="22"/>
          <w:szCs w:val="22"/>
        </w:rPr>
      </w:pPr>
      <w:r w:rsidRPr="00435066">
        <w:rPr>
          <w:rFonts w:asciiTheme="minorHAnsi" w:hAnsiTheme="minorHAnsi" w:cstheme="minorHAnsi"/>
          <w:sz w:val="22"/>
          <w:szCs w:val="22"/>
        </w:rPr>
        <w:t xml:space="preserve">You must respond to a Forum question for </w:t>
      </w:r>
      <w:r w:rsidRPr="00435066">
        <w:rPr>
          <w:rFonts w:asciiTheme="minorHAnsi" w:hAnsiTheme="minorHAnsi" w:cstheme="minorHAnsi"/>
          <w:sz w:val="22"/>
          <w:szCs w:val="22"/>
          <w:u w:val="single"/>
        </w:rPr>
        <w:t>ten</w:t>
      </w:r>
      <w:r w:rsidRPr="00435066">
        <w:rPr>
          <w:rFonts w:asciiTheme="minorHAnsi" w:hAnsiTheme="minorHAnsi" w:cstheme="minorHAnsi"/>
          <w:sz w:val="22"/>
          <w:szCs w:val="22"/>
        </w:rPr>
        <w:t xml:space="preserve"> weeks.</w:t>
      </w:r>
    </w:p>
    <w:p w:rsidR="00EC6D21" w:rsidRPr="00435066" w:rsidRDefault="00EC6D21" w:rsidP="00EC6D21">
      <w:pPr>
        <w:pStyle w:val="ListParagraph"/>
        <w:numPr>
          <w:ilvl w:val="0"/>
          <w:numId w:val="12"/>
        </w:numPr>
        <w:rPr>
          <w:rFonts w:asciiTheme="minorHAnsi" w:hAnsiTheme="minorHAnsi" w:cstheme="minorHAnsi"/>
          <w:sz w:val="22"/>
          <w:szCs w:val="22"/>
        </w:rPr>
      </w:pPr>
      <w:r w:rsidRPr="00435066">
        <w:rPr>
          <w:rFonts w:asciiTheme="minorHAnsi" w:hAnsiTheme="minorHAnsi" w:cstheme="minorHAnsi"/>
          <w:sz w:val="22"/>
          <w:szCs w:val="22"/>
        </w:rPr>
        <w:t xml:space="preserve">Each week you will be assigned one question which you must answer. Your answer should be between 200 – 400 words. </w:t>
      </w:r>
    </w:p>
    <w:p w:rsidR="00EC6D21" w:rsidRPr="00435066" w:rsidRDefault="00EC6D21" w:rsidP="00EC6D21">
      <w:pPr>
        <w:pStyle w:val="ListParagraph"/>
        <w:numPr>
          <w:ilvl w:val="0"/>
          <w:numId w:val="12"/>
        </w:numPr>
        <w:rPr>
          <w:rFonts w:asciiTheme="minorHAnsi" w:hAnsiTheme="minorHAnsi" w:cstheme="minorHAnsi"/>
          <w:sz w:val="22"/>
          <w:szCs w:val="22"/>
        </w:rPr>
      </w:pPr>
      <w:r w:rsidRPr="00435066">
        <w:rPr>
          <w:rFonts w:asciiTheme="minorHAnsi" w:hAnsiTheme="minorHAnsi" w:cstheme="minorHAnsi"/>
          <w:sz w:val="22"/>
          <w:szCs w:val="22"/>
        </w:rPr>
        <w:t>The que</w:t>
      </w:r>
      <w:r w:rsidR="002A6AA1">
        <w:rPr>
          <w:rFonts w:asciiTheme="minorHAnsi" w:hAnsiTheme="minorHAnsi" w:cstheme="minorHAnsi"/>
          <w:sz w:val="22"/>
          <w:szCs w:val="22"/>
        </w:rPr>
        <w:t>stions will be posted on Thursdays</w:t>
      </w:r>
      <w:r w:rsidRPr="00435066">
        <w:rPr>
          <w:rFonts w:asciiTheme="minorHAnsi" w:hAnsiTheme="minorHAnsi" w:cstheme="minorHAnsi"/>
          <w:sz w:val="22"/>
          <w:szCs w:val="22"/>
        </w:rPr>
        <w:t xml:space="preserve">; they must be answered by </w:t>
      </w:r>
      <w:r w:rsidRPr="00435066">
        <w:rPr>
          <w:rFonts w:asciiTheme="minorHAnsi" w:hAnsiTheme="minorHAnsi" w:cstheme="minorHAnsi"/>
          <w:color w:val="FF0000"/>
          <w:sz w:val="22"/>
          <w:szCs w:val="22"/>
        </w:rPr>
        <w:t>Tuesday at noon</w:t>
      </w:r>
      <w:r w:rsidRPr="00435066">
        <w:rPr>
          <w:rFonts w:asciiTheme="minorHAnsi" w:hAnsiTheme="minorHAnsi" w:cstheme="minorHAnsi"/>
          <w:sz w:val="22"/>
          <w:szCs w:val="22"/>
        </w:rPr>
        <w:t>.</w:t>
      </w:r>
    </w:p>
    <w:p w:rsidR="00EC6D21" w:rsidRPr="00435066" w:rsidRDefault="00EC6D21" w:rsidP="00EC6D21">
      <w:pPr>
        <w:pStyle w:val="ListParagraph"/>
        <w:numPr>
          <w:ilvl w:val="0"/>
          <w:numId w:val="12"/>
        </w:numPr>
        <w:rPr>
          <w:rFonts w:asciiTheme="minorHAnsi" w:hAnsiTheme="minorHAnsi" w:cstheme="minorHAnsi"/>
          <w:sz w:val="22"/>
          <w:szCs w:val="22"/>
        </w:rPr>
      </w:pPr>
      <w:r w:rsidRPr="00435066">
        <w:rPr>
          <w:rFonts w:asciiTheme="minorHAnsi" w:hAnsiTheme="minorHAnsi" w:cstheme="minorHAnsi"/>
          <w:sz w:val="22"/>
          <w:szCs w:val="22"/>
        </w:rPr>
        <w:t>If you are absent in any week and cannot respond to a question, that is permitted as long as you respond a total of ten weeks. If you can, simply type “absent” as the response to the posting or let the professor know.</w:t>
      </w:r>
    </w:p>
    <w:p w:rsidR="00EC6D21" w:rsidRPr="00435066" w:rsidRDefault="00EC6D21" w:rsidP="00EC6D21">
      <w:pPr>
        <w:pStyle w:val="ListParagraph"/>
        <w:numPr>
          <w:ilvl w:val="0"/>
          <w:numId w:val="12"/>
        </w:numPr>
        <w:rPr>
          <w:rFonts w:asciiTheme="minorHAnsi" w:hAnsiTheme="minorHAnsi" w:cstheme="minorHAnsi"/>
          <w:sz w:val="22"/>
          <w:szCs w:val="22"/>
        </w:rPr>
      </w:pPr>
      <w:r w:rsidRPr="00435066">
        <w:rPr>
          <w:rFonts w:asciiTheme="minorHAnsi" w:hAnsiTheme="minorHAnsi" w:cstheme="minorHAnsi"/>
          <w:sz w:val="22"/>
          <w:szCs w:val="22"/>
        </w:rPr>
        <w:t>You are permitted to collaborate with another student to answer the questions, as long as you indicate that in your response.</w:t>
      </w:r>
    </w:p>
    <w:p w:rsidR="00EC6D21" w:rsidRDefault="00EC6D21" w:rsidP="00EC6D21">
      <w:pPr>
        <w:pStyle w:val="ListParagraph"/>
        <w:numPr>
          <w:ilvl w:val="0"/>
          <w:numId w:val="12"/>
        </w:numPr>
        <w:rPr>
          <w:rFonts w:asciiTheme="minorHAnsi" w:hAnsiTheme="minorHAnsi" w:cstheme="minorHAnsi"/>
          <w:sz w:val="22"/>
          <w:szCs w:val="22"/>
        </w:rPr>
      </w:pPr>
      <w:r w:rsidRPr="00435066">
        <w:rPr>
          <w:rFonts w:asciiTheme="minorHAnsi" w:hAnsiTheme="minorHAnsi" w:cstheme="minorHAnsi"/>
          <w:sz w:val="22"/>
          <w:szCs w:val="22"/>
        </w:rPr>
        <w:t xml:space="preserve">You must also engage in a meaningful way with </w:t>
      </w:r>
      <w:r w:rsidRPr="00435066">
        <w:rPr>
          <w:rFonts w:asciiTheme="minorHAnsi" w:hAnsiTheme="minorHAnsi" w:cstheme="minorHAnsi"/>
          <w:sz w:val="22"/>
          <w:szCs w:val="22"/>
          <w:u w:val="single"/>
        </w:rPr>
        <w:t>one</w:t>
      </w:r>
      <w:r w:rsidRPr="00435066">
        <w:rPr>
          <w:rFonts w:asciiTheme="minorHAnsi" w:hAnsiTheme="minorHAnsi" w:cstheme="minorHAnsi"/>
          <w:sz w:val="22"/>
          <w:szCs w:val="22"/>
        </w:rPr>
        <w:t xml:space="preserve"> other student’s post each week.  </w:t>
      </w:r>
    </w:p>
    <w:p w:rsidR="00435066" w:rsidRPr="00435066" w:rsidRDefault="00435066" w:rsidP="00EC6D2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M.A. students are strongly encouraged to read the “further readings” and may be asked to report on them from time to time.</w:t>
      </w:r>
    </w:p>
    <w:p w:rsidR="00EC6D21" w:rsidRPr="00435066" w:rsidRDefault="00EC6D21" w:rsidP="00EC6D21">
      <w:pPr>
        <w:rPr>
          <w:rFonts w:cstheme="minorHAnsi"/>
        </w:rPr>
      </w:pPr>
    </w:p>
    <w:p w:rsidR="00EC6D21" w:rsidRPr="003F70DF" w:rsidRDefault="00EC6D21" w:rsidP="003F70DF">
      <w:pPr>
        <w:rPr>
          <w:rFonts w:cstheme="minorHAnsi"/>
          <w:b/>
          <w:bCs/>
        </w:rPr>
      </w:pPr>
      <w:r w:rsidRPr="00435066">
        <w:rPr>
          <w:rFonts w:cstheme="minorHAnsi"/>
          <w:b/>
          <w:bCs/>
        </w:rPr>
        <w:t>Participation in Class</w:t>
      </w:r>
      <w:r w:rsidR="003F70DF">
        <w:rPr>
          <w:rFonts w:cstheme="minorHAnsi"/>
          <w:b/>
          <w:bCs/>
        </w:rPr>
        <w:t xml:space="preserve">: </w:t>
      </w:r>
      <w:r w:rsidRPr="003F70DF">
        <w:rPr>
          <w:rFonts w:cstheme="minorHAnsi"/>
        </w:rPr>
        <w:t>You must be present for a minimum of 10 classes</w:t>
      </w:r>
    </w:p>
    <w:p w:rsidR="00EC6D21" w:rsidRPr="00435066" w:rsidRDefault="00EC6D21" w:rsidP="00EC6D21">
      <w:pPr>
        <w:pStyle w:val="ListParagraph"/>
        <w:numPr>
          <w:ilvl w:val="0"/>
          <w:numId w:val="12"/>
        </w:numPr>
        <w:rPr>
          <w:rFonts w:asciiTheme="minorHAnsi" w:hAnsiTheme="minorHAnsi" w:cstheme="minorHAnsi"/>
          <w:sz w:val="22"/>
          <w:szCs w:val="22"/>
        </w:rPr>
      </w:pPr>
      <w:r w:rsidRPr="00435066">
        <w:rPr>
          <w:rFonts w:asciiTheme="minorHAnsi" w:hAnsiTheme="minorHAnsi" w:cstheme="minorHAnsi"/>
          <w:sz w:val="22"/>
          <w:szCs w:val="22"/>
        </w:rPr>
        <w:t xml:space="preserve">For each class, you have the opportunity to earn 2 points. You will get 1 point if you appear in class; 2 points if you ask a meaningful question, make a meaningful comment, or respond to the professor’s question. </w:t>
      </w:r>
    </w:p>
    <w:p w:rsidR="00EC6D21" w:rsidRPr="00435066" w:rsidRDefault="00EC6D21" w:rsidP="00EC6D21">
      <w:pPr>
        <w:rPr>
          <w:rFonts w:cstheme="minorHAnsi"/>
        </w:rPr>
      </w:pPr>
    </w:p>
    <w:p w:rsidR="00EC6D21" w:rsidRPr="00435066" w:rsidRDefault="00EC6D21" w:rsidP="00EC6D21">
      <w:pPr>
        <w:ind w:right="-180"/>
        <w:rPr>
          <w:rFonts w:cstheme="minorHAnsi"/>
          <w:b/>
          <w:bCs/>
        </w:rPr>
      </w:pPr>
      <w:r w:rsidRPr="00435066">
        <w:rPr>
          <w:rFonts w:cstheme="minorHAnsi"/>
          <w:b/>
          <w:bCs/>
        </w:rPr>
        <w:t>Book Report</w:t>
      </w:r>
    </w:p>
    <w:p w:rsidR="00EC6D21" w:rsidRPr="00435066" w:rsidRDefault="00EC6D21" w:rsidP="00EC6D21">
      <w:pPr>
        <w:ind w:left="720" w:right="-180"/>
        <w:rPr>
          <w:rFonts w:cstheme="minorHAnsi"/>
        </w:rPr>
      </w:pPr>
      <w:r w:rsidRPr="00435066">
        <w:rPr>
          <w:rFonts w:cstheme="minorHAnsi"/>
          <w:bCs/>
        </w:rPr>
        <w:t>Each student is required to submit</w:t>
      </w:r>
      <w:r w:rsidR="00435066">
        <w:rPr>
          <w:rFonts w:cstheme="minorHAnsi"/>
          <w:b/>
          <w:bCs/>
        </w:rPr>
        <w:t xml:space="preserve"> one 2000</w:t>
      </w:r>
      <w:r w:rsidRPr="00435066">
        <w:rPr>
          <w:rFonts w:cstheme="minorHAnsi"/>
          <w:b/>
          <w:bCs/>
        </w:rPr>
        <w:t>-word book report.</w:t>
      </w:r>
      <w:r w:rsidRPr="00435066">
        <w:rPr>
          <w:rFonts w:cstheme="minorHAnsi"/>
        </w:rPr>
        <w:t xml:space="preserve"> Books must be chosen from the list provided</w:t>
      </w:r>
      <w:r w:rsidR="00435066">
        <w:rPr>
          <w:rFonts w:cstheme="minorHAnsi"/>
        </w:rPr>
        <w:t xml:space="preserve"> and approved by the instructor;</w:t>
      </w:r>
      <w:r w:rsidRPr="00435066">
        <w:rPr>
          <w:rFonts w:cstheme="minorHAnsi"/>
        </w:rPr>
        <w:t xml:space="preserve"> and only one student will be permitted to review any book.  You will g</w:t>
      </w:r>
      <w:r w:rsidR="00435066">
        <w:rPr>
          <w:rFonts w:cstheme="minorHAnsi"/>
        </w:rPr>
        <w:t>ive a brief (15</w:t>
      </w:r>
      <w:r w:rsidRPr="00435066">
        <w:rPr>
          <w:rFonts w:cstheme="minorHAnsi"/>
        </w:rPr>
        <w:t>-minute) oral presentation of your book to the class. A good book report should address at least the following aspects of the book: 1) bibliographic aspects (i.e., who is the author, his or her relevant credentials, etc. 2) originality or importance of the book relative to other published studies 3) accuracy of the facts 4) quality of the publication 5) reception of the work.</w:t>
      </w:r>
    </w:p>
    <w:p w:rsidR="00EC6D21" w:rsidRPr="00435066" w:rsidRDefault="00EC6D21" w:rsidP="00EC6D21">
      <w:pPr>
        <w:rPr>
          <w:rFonts w:cstheme="minorHAnsi"/>
        </w:rPr>
      </w:pPr>
    </w:p>
    <w:p w:rsidR="00435066" w:rsidRPr="00435066" w:rsidRDefault="00435066" w:rsidP="00435066">
      <w:pPr>
        <w:ind w:right="-180"/>
        <w:rPr>
          <w:rFonts w:cstheme="minorHAnsi"/>
        </w:rPr>
      </w:pPr>
      <w:r w:rsidRPr="00435066">
        <w:rPr>
          <w:rFonts w:cstheme="minorHAnsi"/>
          <w:b/>
          <w:bCs/>
        </w:rPr>
        <w:t>Final papers</w:t>
      </w:r>
      <w:r w:rsidRPr="00435066">
        <w:rPr>
          <w:rFonts w:cstheme="minorHAnsi"/>
        </w:rPr>
        <w:t xml:space="preserve"> </w:t>
      </w:r>
    </w:p>
    <w:p w:rsidR="00435066" w:rsidRPr="00435066" w:rsidRDefault="00435066" w:rsidP="00435066">
      <w:pPr>
        <w:ind w:left="720" w:right="-180"/>
        <w:rPr>
          <w:rFonts w:cstheme="minorHAnsi"/>
        </w:rPr>
      </w:pPr>
      <w:r w:rsidRPr="00435066">
        <w:rPr>
          <w:rFonts w:cstheme="minorHAnsi"/>
        </w:rPr>
        <w:t xml:space="preserve">Papers should be about 15-20 pages (no big margins, large fonts or triple spacing to fill the paper).  Paper topics must be approved in advance by the instructor.  The student is expected to use not only monographs, but a number of </w:t>
      </w:r>
      <w:r w:rsidRPr="00435066">
        <w:rPr>
          <w:rFonts w:cstheme="minorHAnsi"/>
          <w:u w:val="single"/>
        </w:rPr>
        <w:t>peer-reviewed academic articles and/or chapters</w:t>
      </w:r>
      <w:r w:rsidRPr="00435066">
        <w:rPr>
          <w:rFonts w:cstheme="minorHAnsi"/>
        </w:rPr>
        <w:t xml:space="preserve"> as sources for the paper.  You must search through JSTOR or the </w:t>
      </w:r>
      <w:r w:rsidRPr="00435066">
        <w:rPr>
          <w:rFonts w:cstheme="minorHAnsi"/>
          <w:i/>
          <w:iCs/>
        </w:rPr>
        <w:t xml:space="preserve">Index </w:t>
      </w:r>
      <w:proofErr w:type="spellStart"/>
      <w:r w:rsidRPr="00435066">
        <w:rPr>
          <w:rFonts w:cstheme="minorHAnsi"/>
          <w:i/>
          <w:iCs/>
        </w:rPr>
        <w:t>Islamicus</w:t>
      </w:r>
      <w:proofErr w:type="spellEnd"/>
      <w:r w:rsidRPr="00435066">
        <w:rPr>
          <w:rFonts w:cstheme="minorHAnsi"/>
        </w:rPr>
        <w:t xml:space="preserve"> for specialized studies relevant to your topic.   </w:t>
      </w:r>
    </w:p>
    <w:p w:rsidR="00435066" w:rsidRPr="00435066" w:rsidRDefault="00435066" w:rsidP="00435066">
      <w:pPr>
        <w:ind w:left="720" w:right="-180" w:firstLine="720"/>
        <w:rPr>
          <w:rFonts w:cstheme="minorHAnsi"/>
        </w:rPr>
      </w:pPr>
    </w:p>
    <w:p w:rsidR="00435066" w:rsidRPr="00435066" w:rsidRDefault="00435066" w:rsidP="00435066">
      <w:pPr>
        <w:ind w:left="720" w:right="-180"/>
        <w:rPr>
          <w:rFonts w:cstheme="minorHAnsi"/>
        </w:rPr>
      </w:pPr>
      <w:r w:rsidRPr="00435066">
        <w:rPr>
          <w:rFonts w:cstheme="minorHAnsi"/>
        </w:rPr>
        <w:t xml:space="preserve">For Arabic, Persian, Turkish and other Middle Eastern languages, you must use the most commonly used current academic transliteration system established by IJMES and described in detail here: </w:t>
      </w:r>
      <w:hyperlink r:id="rId7" w:history="1">
        <w:r w:rsidRPr="00435066">
          <w:rPr>
            <w:rStyle w:val="Hyperlink"/>
            <w:rFonts w:cstheme="minorHAnsi"/>
          </w:rPr>
          <w:t>http://ijmes.chass.ncsu.edu/IJMES_Translation_and_Transliteration_Guide.htm</w:t>
        </w:r>
      </w:hyperlink>
      <w:r w:rsidRPr="00435066">
        <w:rPr>
          <w:rFonts w:cstheme="minorHAnsi"/>
        </w:rPr>
        <w:t xml:space="preserve">. </w:t>
      </w:r>
    </w:p>
    <w:p w:rsidR="00435066" w:rsidRPr="00435066" w:rsidRDefault="00435066" w:rsidP="00435066">
      <w:pPr>
        <w:ind w:right="-180"/>
        <w:rPr>
          <w:rFonts w:cstheme="minorHAnsi"/>
        </w:rPr>
      </w:pPr>
    </w:p>
    <w:p w:rsidR="00435066" w:rsidRPr="00435066" w:rsidRDefault="00435066" w:rsidP="00435066">
      <w:pPr>
        <w:ind w:left="720" w:right="-180"/>
        <w:rPr>
          <w:rFonts w:cstheme="minorHAnsi"/>
        </w:rPr>
      </w:pPr>
      <w:r w:rsidRPr="00435066">
        <w:rPr>
          <w:rFonts w:cstheme="minorHAnsi"/>
        </w:rPr>
        <w:t xml:space="preserve">Here are </w:t>
      </w:r>
      <w:r w:rsidRPr="00435066">
        <w:rPr>
          <w:rFonts w:cstheme="minorHAnsi"/>
          <w:u w:val="single"/>
        </w:rPr>
        <w:t>some examples</w:t>
      </w:r>
      <w:r w:rsidRPr="00435066">
        <w:rPr>
          <w:rFonts w:cstheme="minorHAnsi"/>
        </w:rPr>
        <w:t xml:space="preserve"> of the kinds of topics a research paper might cover: </w:t>
      </w:r>
    </w:p>
    <w:p w:rsidR="00435066" w:rsidRPr="00435066" w:rsidRDefault="00435066" w:rsidP="00435066">
      <w:pPr>
        <w:pStyle w:val="ListParagraph"/>
        <w:numPr>
          <w:ilvl w:val="0"/>
          <w:numId w:val="14"/>
        </w:numPr>
        <w:tabs>
          <w:tab w:val="clear" w:pos="1080"/>
          <w:tab w:val="num" w:pos="2160"/>
        </w:tabs>
        <w:ind w:right="-180"/>
        <w:rPr>
          <w:rFonts w:asciiTheme="minorHAnsi" w:hAnsiTheme="minorHAnsi" w:cstheme="minorHAnsi"/>
          <w:sz w:val="22"/>
          <w:szCs w:val="22"/>
        </w:rPr>
      </w:pPr>
      <w:r w:rsidRPr="00435066">
        <w:rPr>
          <w:rFonts w:asciiTheme="minorHAnsi" w:hAnsiTheme="minorHAnsi" w:cstheme="minorHAnsi"/>
          <w:sz w:val="22"/>
          <w:szCs w:val="22"/>
        </w:rPr>
        <w:t>Focus on the development of Islamic Law in a specific country during a particular period (e.g., India under British occupation, contemporary Malaysia, post-colonial Nigeria, democratic Tunisia, etc.).</w:t>
      </w:r>
    </w:p>
    <w:p w:rsidR="00435066" w:rsidRPr="00435066" w:rsidRDefault="00435066" w:rsidP="00435066">
      <w:pPr>
        <w:pStyle w:val="ListParagraph"/>
        <w:numPr>
          <w:ilvl w:val="0"/>
          <w:numId w:val="14"/>
        </w:numPr>
        <w:tabs>
          <w:tab w:val="clear" w:pos="1080"/>
          <w:tab w:val="num" w:pos="2160"/>
        </w:tabs>
        <w:ind w:right="-180"/>
        <w:rPr>
          <w:rFonts w:asciiTheme="minorHAnsi" w:hAnsiTheme="minorHAnsi" w:cstheme="minorHAnsi"/>
          <w:sz w:val="22"/>
          <w:szCs w:val="22"/>
        </w:rPr>
      </w:pPr>
      <w:r w:rsidRPr="00435066">
        <w:rPr>
          <w:rFonts w:asciiTheme="minorHAnsi" w:hAnsiTheme="minorHAnsi" w:cstheme="minorHAnsi"/>
          <w:sz w:val="22"/>
          <w:szCs w:val="22"/>
        </w:rPr>
        <w:t>Focus on a particular topic in ritual law and the differences of opinion among schools regarding that subject (e.g., the ritual slaughter of animals).</w:t>
      </w:r>
    </w:p>
    <w:p w:rsidR="00435066" w:rsidRPr="00435066" w:rsidRDefault="00435066" w:rsidP="00435066">
      <w:pPr>
        <w:pStyle w:val="ListParagraph"/>
        <w:numPr>
          <w:ilvl w:val="0"/>
          <w:numId w:val="14"/>
        </w:numPr>
        <w:tabs>
          <w:tab w:val="clear" w:pos="1080"/>
          <w:tab w:val="num" w:pos="2160"/>
        </w:tabs>
        <w:ind w:right="-180"/>
        <w:rPr>
          <w:rFonts w:asciiTheme="minorHAnsi" w:hAnsiTheme="minorHAnsi" w:cstheme="minorHAnsi"/>
          <w:sz w:val="22"/>
          <w:szCs w:val="22"/>
        </w:rPr>
      </w:pPr>
      <w:r w:rsidRPr="00435066">
        <w:rPr>
          <w:rFonts w:asciiTheme="minorHAnsi" w:hAnsiTheme="minorHAnsi" w:cstheme="minorHAnsi"/>
          <w:sz w:val="22"/>
          <w:szCs w:val="22"/>
        </w:rPr>
        <w:t>Research a topic in the history of Islamic legal education.  For example, the changing role of Al-</w:t>
      </w:r>
      <w:proofErr w:type="spellStart"/>
      <w:r w:rsidRPr="00435066">
        <w:rPr>
          <w:rFonts w:asciiTheme="minorHAnsi" w:hAnsiTheme="minorHAnsi" w:cstheme="minorHAnsi"/>
          <w:sz w:val="22"/>
          <w:szCs w:val="22"/>
        </w:rPr>
        <w:t>Azhar</w:t>
      </w:r>
      <w:proofErr w:type="spellEnd"/>
      <w:r w:rsidRPr="00435066">
        <w:rPr>
          <w:rFonts w:asciiTheme="minorHAnsi" w:hAnsiTheme="minorHAnsi" w:cstheme="minorHAnsi"/>
          <w:sz w:val="22"/>
          <w:szCs w:val="22"/>
        </w:rPr>
        <w:t xml:space="preserve"> University in the Muslim world.</w:t>
      </w:r>
    </w:p>
    <w:p w:rsidR="00435066" w:rsidRPr="00435066" w:rsidRDefault="00435066" w:rsidP="00435066">
      <w:pPr>
        <w:pStyle w:val="ListParagraph"/>
        <w:numPr>
          <w:ilvl w:val="0"/>
          <w:numId w:val="14"/>
        </w:numPr>
        <w:tabs>
          <w:tab w:val="clear" w:pos="1080"/>
          <w:tab w:val="num" w:pos="2160"/>
        </w:tabs>
        <w:ind w:right="-180"/>
        <w:rPr>
          <w:rFonts w:asciiTheme="minorHAnsi" w:hAnsiTheme="minorHAnsi" w:cstheme="minorHAnsi"/>
          <w:sz w:val="22"/>
          <w:szCs w:val="22"/>
        </w:rPr>
      </w:pPr>
      <w:r w:rsidRPr="00435066">
        <w:rPr>
          <w:rFonts w:asciiTheme="minorHAnsi" w:hAnsiTheme="minorHAnsi" w:cstheme="minorHAnsi"/>
          <w:sz w:val="22"/>
          <w:szCs w:val="22"/>
        </w:rPr>
        <w:t xml:space="preserve">Choose a particular area of law, for example, the law of torts, and make a comparative study between Islamic law and another legal system (i.e., Common Law). </w:t>
      </w:r>
    </w:p>
    <w:p w:rsidR="00435066" w:rsidRPr="00435066" w:rsidRDefault="00435066" w:rsidP="00435066">
      <w:pPr>
        <w:pStyle w:val="ListParagraph"/>
        <w:numPr>
          <w:ilvl w:val="0"/>
          <w:numId w:val="14"/>
        </w:numPr>
        <w:tabs>
          <w:tab w:val="clear" w:pos="1080"/>
          <w:tab w:val="num" w:pos="2160"/>
        </w:tabs>
        <w:ind w:right="-180"/>
        <w:rPr>
          <w:rFonts w:asciiTheme="minorHAnsi" w:hAnsiTheme="minorHAnsi" w:cstheme="minorHAnsi"/>
          <w:sz w:val="22"/>
          <w:szCs w:val="22"/>
        </w:rPr>
      </w:pPr>
      <w:r w:rsidRPr="00435066">
        <w:rPr>
          <w:rFonts w:asciiTheme="minorHAnsi" w:hAnsiTheme="minorHAnsi" w:cstheme="minorHAnsi"/>
          <w:sz w:val="22"/>
          <w:szCs w:val="22"/>
        </w:rPr>
        <w:t>Focus on a prominent historical or contemporary Islamic legal scholar, critically presenting his or her theories and their impact on society.</w:t>
      </w:r>
    </w:p>
    <w:p w:rsidR="00EC6D21" w:rsidRPr="00435066" w:rsidRDefault="00EC6D21" w:rsidP="00EC6D21">
      <w:pPr>
        <w:ind w:right="-180"/>
        <w:rPr>
          <w:rFonts w:cstheme="minorHAnsi"/>
        </w:rPr>
      </w:pPr>
    </w:p>
    <w:p w:rsidR="00EC6D21" w:rsidRPr="00435066" w:rsidRDefault="00EC6D21" w:rsidP="00EC6D21">
      <w:pPr>
        <w:ind w:right="-180"/>
        <w:rPr>
          <w:rFonts w:cstheme="minorHAnsi"/>
        </w:rPr>
      </w:pPr>
      <w:r w:rsidRPr="00435066">
        <w:rPr>
          <w:rFonts w:cstheme="minorHAnsi"/>
          <w:b/>
          <w:bCs/>
        </w:rPr>
        <w:t xml:space="preserve">Students must inform themselves about the definition of plagiarism and the sanction that will be applied to those who plagiarize, including by copying text from internet sites.  Papers will be reviewed by the plagiarism service </w:t>
      </w:r>
      <w:proofErr w:type="spellStart"/>
      <w:r w:rsidRPr="00435066">
        <w:rPr>
          <w:rFonts w:cstheme="minorHAnsi"/>
          <w:b/>
          <w:bCs/>
        </w:rPr>
        <w:t>Turnitin</w:t>
      </w:r>
      <w:proofErr w:type="spellEnd"/>
      <w:r w:rsidRPr="00435066">
        <w:rPr>
          <w:rFonts w:cstheme="minorHAnsi"/>
          <w:b/>
          <w:bCs/>
        </w:rPr>
        <w:t>.</w:t>
      </w:r>
    </w:p>
    <w:p w:rsidR="00EC6D21" w:rsidRPr="00435066" w:rsidRDefault="00EC6D21" w:rsidP="00EC6D21">
      <w:pPr>
        <w:ind w:right="-180"/>
        <w:rPr>
          <w:rFonts w:cstheme="minorHAnsi"/>
        </w:rPr>
      </w:pPr>
    </w:p>
    <w:p w:rsidR="00EC6D21" w:rsidRPr="00435066" w:rsidRDefault="00EC6D21" w:rsidP="00EC6D21">
      <w:pPr>
        <w:rPr>
          <w:rFonts w:cstheme="minorHAnsi"/>
          <w:b/>
          <w:bCs/>
        </w:rPr>
      </w:pPr>
      <w:r w:rsidRPr="00435066">
        <w:rPr>
          <w:rFonts w:cstheme="minorHAnsi"/>
          <w:b/>
          <w:bCs/>
        </w:rPr>
        <w:t>Here’s what your grade represents:</w:t>
      </w:r>
    </w:p>
    <w:p w:rsidR="00EC6D21" w:rsidRPr="00435066" w:rsidRDefault="00EC6D21" w:rsidP="00EC6D21">
      <w:pPr>
        <w:rPr>
          <w:rFonts w:cstheme="minorHAnsi"/>
          <w:b/>
          <w:bCs/>
        </w:rPr>
      </w:pPr>
    </w:p>
    <w:p w:rsidR="00EC6D21" w:rsidRPr="00435066" w:rsidRDefault="00EC6D21" w:rsidP="00EC6D21">
      <w:pPr>
        <w:ind w:left="360"/>
        <w:rPr>
          <w:rFonts w:cstheme="minorHAnsi"/>
        </w:rPr>
      </w:pPr>
      <w:r w:rsidRPr="00435066">
        <w:rPr>
          <w:rFonts w:cstheme="minorHAnsi"/>
        </w:rPr>
        <w:t xml:space="preserve">A+ </w:t>
      </w:r>
      <w:r w:rsidRPr="00435066">
        <w:rPr>
          <w:rFonts w:cstheme="minorHAnsi"/>
        </w:rPr>
        <w:tab/>
        <w:t xml:space="preserve">90 - 100% Excellent; good analysis, insights and use of sources. </w:t>
      </w:r>
    </w:p>
    <w:p w:rsidR="00EC6D21" w:rsidRPr="00435066" w:rsidRDefault="00EC6D21" w:rsidP="00EC6D21">
      <w:pPr>
        <w:ind w:left="360"/>
        <w:rPr>
          <w:rFonts w:cstheme="minorHAnsi"/>
        </w:rPr>
      </w:pPr>
      <w:proofErr w:type="gramStart"/>
      <w:r w:rsidRPr="00435066">
        <w:rPr>
          <w:rFonts w:cstheme="minorHAnsi"/>
        </w:rPr>
        <w:t>A</w:t>
      </w:r>
      <w:proofErr w:type="gramEnd"/>
      <w:r w:rsidRPr="00435066">
        <w:rPr>
          <w:rFonts w:cstheme="minorHAnsi"/>
        </w:rPr>
        <w:tab/>
        <w:t>80 - 89% Very good; well-written and documented, good insights.</w:t>
      </w:r>
    </w:p>
    <w:p w:rsidR="00EC6D21" w:rsidRPr="00435066" w:rsidRDefault="00EC6D21" w:rsidP="00EC6D21">
      <w:pPr>
        <w:ind w:left="360"/>
        <w:rPr>
          <w:rFonts w:cstheme="minorHAnsi"/>
        </w:rPr>
      </w:pPr>
      <w:r w:rsidRPr="00435066">
        <w:rPr>
          <w:rFonts w:cstheme="minorHAnsi"/>
        </w:rPr>
        <w:t xml:space="preserve">B </w:t>
      </w:r>
      <w:r w:rsidRPr="00435066">
        <w:rPr>
          <w:rFonts w:cstheme="minorHAnsi"/>
        </w:rPr>
        <w:tab/>
        <w:t>70 - 79% Decent; needs more documentation and analysis; some errors.</w:t>
      </w:r>
    </w:p>
    <w:p w:rsidR="00EC6D21" w:rsidRPr="00435066" w:rsidRDefault="00EC6D21" w:rsidP="00EC6D21">
      <w:pPr>
        <w:ind w:left="360"/>
        <w:rPr>
          <w:rFonts w:cstheme="minorHAnsi"/>
        </w:rPr>
      </w:pPr>
      <w:r w:rsidRPr="00435066">
        <w:rPr>
          <w:rFonts w:cstheme="minorHAnsi"/>
        </w:rPr>
        <w:t>C</w:t>
      </w:r>
      <w:r w:rsidRPr="00435066">
        <w:rPr>
          <w:rFonts w:cstheme="minorHAnsi"/>
        </w:rPr>
        <w:tab/>
        <w:t xml:space="preserve">60 - 69% A good start, but off topic, poorly documented, or has significant errors. </w:t>
      </w:r>
    </w:p>
    <w:p w:rsidR="00EC6D21" w:rsidRPr="00435066" w:rsidRDefault="00EC6D21" w:rsidP="00EC6D21">
      <w:pPr>
        <w:ind w:left="360"/>
        <w:rPr>
          <w:rFonts w:cstheme="minorHAnsi"/>
        </w:rPr>
      </w:pPr>
      <w:r w:rsidRPr="00435066">
        <w:rPr>
          <w:rFonts w:cstheme="minorHAnsi"/>
        </w:rPr>
        <w:t>D</w:t>
      </w:r>
      <w:r w:rsidRPr="00435066">
        <w:rPr>
          <w:rFonts w:cstheme="minorHAnsi"/>
        </w:rPr>
        <w:tab/>
        <w:t>50 - 59% A passing paper; ask me how you can improve for next time.</w:t>
      </w:r>
    </w:p>
    <w:p w:rsidR="00EC6D21" w:rsidRPr="00435066" w:rsidRDefault="00EC6D21" w:rsidP="00EC6D21">
      <w:pPr>
        <w:ind w:left="360"/>
        <w:rPr>
          <w:rFonts w:cstheme="minorHAnsi"/>
        </w:rPr>
      </w:pPr>
      <w:r w:rsidRPr="00435066">
        <w:rPr>
          <w:rFonts w:cstheme="minorHAnsi"/>
        </w:rPr>
        <w:t>F</w:t>
      </w:r>
      <w:r w:rsidRPr="00435066">
        <w:rPr>
          <w:rFonts w:cstheme="minorHAnsi"/>
        </w:rPr>
        <w:tab/>
        <w:t>&lt; 50% Failing paper; let’s talk and find out what needs to be done.</w:t>
      </w:r>
    </w:p>
    <w:p w:rsidR="00EC6D21" w:rsidRPr="00435066" w:rsidRDefault="00EC6D21" w:rsidP="00EC6D21">
      <w:pPr>
        <w:jc w:val="center"/>
        <w:rPr>
          <w:rFonts w:cstheme="minorHAnsi"/>
          <w:b/>
          <w:bCs/>
        </w:rPr>
      </w:pPr>
      <w:r w:rsidRPr="00435066">
        <w:rPr>
          <w:rFonts w:cstheme="minorHAnsi"/>
          <w:b/>
          <w:bCs/>
        </w:rPr>
        <w:br w:type="page"/>
      </w:r>
      <w:r w:rsidRPr="00435066">
        <w:rPr>
          <w:rFonts w:cstheme="minorHAnsi"/>
          <w:b/>
          <w:bCs/>
        </w:rPr>
        <w:lastRenderedPageBreak/>
        <w:t>SCHEDULE</w:t>
      </w:r>
    </w:p>
    <w:p w:rsidR="00EC6D21" w:rsidRPr="00435066" w:rsidRDefault="00EC6D21" w:rsidP="00EC6D21">
      <w:pPr>
        <w:jc w:val="center"/>
        <w:rPr>
          <w:rFonts w:cstheme="minorHAnsi"/>
          <w:b/>
          <w:bCs/>
        </w:rPr>
      </w:pPr>
      <w:r w:rsidRPr="00435066">
        <w:rPr>
          <w:rFonts w:cstheme="minorHAnsi"/>
          <w:b/>
          <w:bCs/>
        </w:rPr>
        <w:t>*subject to change*</w:t>
      </w:r>
    </w:p>
    <w:p w:rsidR="00EC6D21" w:rsidRPr="00435066" w:rsidRDefault="00EC6D21" w:rsidP="00EC6D21">
      <w:pPr>
        <w:ind w:right="-180"/>
        <w:rPr>
          <w:rFonts w:cstheme="minorHAnsi"/>
        </w:rPr>
      </w:pPr>
    </w:p>
    <w:p w:rsidR="00F7349E" w:rsidRPr="00A3356B" w:rsidRDefault="00F7349E" w:rsidP="00F7349E">
      <w:pPr>
        <w:ind w:right="-180"/>
        <w:rPr>
          <w:rFonts w:cstheme="minorHAnsi"/>
        </w:rPr>
      </w:pPr>
      <w:r w:rsidRPr="00A3356B">
        <w:rPr>
          <w:rFonts w:cstheme="minorHAnsi"/>
          <w:b/>
          <w:bCs/>
        </w:rPr>
        <w:t>January 12: Introduction</w:t>
      </w:r>
    </w:p>
    <w:p w:rsidR="00F7349E" w:rsidRPr="00A3356B" w:rsidRDefault="00F7349E" w:rsidP="00F7349E">
      <w:pPr>
        <w:pStyle w:val="ListParagraph"/>
        <w:numPr>
          <w:ilvl w:val="0"/>
          <w:numId w:val="12"/>
        </w:numPr>
        <w:ind w:right="-180"/>
        <w:rPr>
          <w:rFonts w:asciiTheme="minorHAnsi" w:hAnsiTheme="minorHAnsi" w:cstheme="minorHAnsi"/>
          <w:sz w:val="22"/>
          <w:szCs w:val="22"/>
        </w:rPr>
      </w:pPr>
      <w:r w:rsidRPr="00A3356B">
        <w:rPr>
          <w:rFonts w:asciiTheme="minorHAnsi" w:hAnsiTheme="minorHAnsi" w:cstheme="minorHAnsi"/>
          <w:sz w:val="22"/>
          <w:szCs w:val="22"/>
        </w:rPr>
        <w:t>Introduction to class</w:t>
      </w:r>
    </w:p>
    <w:p w:rsidR="00F7349E" w:rsidRPr="00A3356B" w:rsidRDefault="00F7349E" w:rsidP="00F7349E">
      <w:pPr>
        <w:pStyle w:val="ListParagraph"/>
        <w:numPr>
          <w:ilvl w:val="0"/>
          <w:numId w:val="12"/>
        </w:numPr>
        <w:ind w:right="-180"/>
        <w:rPr>
          <w:rFonts w:asciiTheme="minorHAnsi" w:hAnsiTheme="minorHAnsi" w:cstheme="minorHAnsi"/>
          <w:sz w:val="22"/>
          <w:szCs w:val="22"/>
        </w:rPr>
      </w:pPr>
      <w:r w:rsidRPr="00A3356B">
        <w:rPr>
          <w:rFonts w:asciiTheme="minorHAnsi" w:hAnsiTheme="minorHAnsi" w:cstheme="minorHAnsi"/>
          <w:sz w:val="22"/>
          <w:szCs w:val="22"/>
        </w:rPr>
        <w:t>Lecture: The Pre-Islamic Context</w:t>
      </w:r>
    </w:p>
    <w:p w:rsidR="00F7349E" w:rsidRPr="00A3356B" w:rsidRDefault="00F7349E" w:rsidP="00F7349E">
      <w:pPr>
        <w:pStyle w:val="ListParagraph"/>
        <w:ind w:right="-180"/>
        <w:rPr>
          <w:rFonts w:asciiTheme="minorHAnsi" w:hAnsiTheme="minorHAnsi" w:cstheme="minorHAnsi"/>
          <w:sz w:val="22"/>
          <w:szCs w:val="22"/>
        </w:rPr>
      </w:pPr>
    </w:p>
    <w:p w:rsidR="00F7349E" w:rsidRPr="00A3356B" w:rsidRDefault="00F7349E" w:rsidP="00F7349E">
      <w:pPr>
        <w:ind w:right="-180"/>
        <w:rPr>
          <w:rFonts w:cstheme="minorHAnsi"/>
          <w:b/>
          <w:bCs/>
        </w:rPr>
      </w:pPr>
      <w:r w:rsidRPr="00A3356B">
        <w:rPr>
          <w:rFonts w:cstheme="minorHAnsi"/>
          <w:b/>
          <w:bCs/>
        </w:rPr>
        <w:t>January 19: The Formative Period</w:t>
      </w:r>
    </w:p>
    <w:p w:rsidR="00F7349E" w:rsidRDefault="00F7349E" w:rsidP="00F7349E">
      <w:pPr>
        <w:pStyle w:val="ListParagraph"/>
        <w:numPr>
          <w:ilvl w:val="0"/>
          <w:numId w:val="12"/>
        </w:numPr>
        <w:ind w:right="-180"/>
        <w:rPr>
          <w:rFonts w:asciiTheme="minorHAnsi" w:hAnsiTheme="minorHAnsi" w:cstheme="minorHAnsi"/>
          <w:sz w:val="22"/>
          <w:szCs w:val="22"/>
        </w:rPr>
      </w:pPr>
      <w:proofErr w:type="spellStart"/>
      <w:r w:rsidRPr="00A3356B">
        <w:rPr>
          <w:rFonts w:asciiTheme="minorHAnsi" w:hAnsiTheme="minorHAnsi" w:cstheme="minorHAnsi"/>
          <w:sz w:val="22"/>
          <w:szCs w:val="22"/>
        </w:rPr>
        <w:t>Hallaq</w:t>
      </w:r>
      <w:proofErr w:type="spellEnd"/>
      <w:r w:rsidRPr="00A3356B">
        <w:rPr>
          <w:rFonts w:asciiTheme="minorHAnsi" w:hAnsiTheme="minorHAnsi" w:cstheme="minorHAnsi"/>
          <w:sz w:val="22"/>
          <w:szCs w:val="22"/>
        </w:rPr>
        <w:t>, Chapter One</w:t>
      </w:r>
    </w:p>
    <w:p w:rsidR="00F7349E" w:rsidRPr="0089746F" w:rsidRDefault="00F7349E" w:rsidP="00F7349E">
      <w:pPr>
        <w:pStyle w:val="ListParagraph"/>
        <w:ind w:right="-180"/>
        <w:rPr>
          <w:rFonts w:asciiTheme="minorHAnsi" w:hAnsiTheme="minorHAnsi" w:cstheme="minorHAnsi"/>
          <w:sz w:val="22"/>
          <w:szCs w:val="22"/>
        </w:rPr>
      </w:pPr>
    </w:p>
    <w:p w:rsidR="00F7349E" w:rsidRPr="0089746F" w:rsidRDefault="00F7349E" w:rsidP="00F7349E">
      <w:pPr>
        <w:ind w:right="-180"/>
        <w:rPr>
          <w:rFonts w:cstheme="minorHAnsi"/>
          <w:b/>
          <w:bCs/>
        </w:rPr>
      </w:pPr>
      <w:r w:rsidRPr="00A3356B">
        <w:rPr>
          <w:rFonts w:cstheme="minorHAnsi"/>
          <w:b/>
          <w:bCs/>
        </w:rPr>
        <w:t xml:space="preserve">January 26: </w:t>
      </w:r>
      <w:r w:rsidRPr="0089746F">
        <w:rPr>
          <w:rFonts w:cstheme="minorHAnsi"/>
          <w:b/>
          <w:bCs/>
        </w:rPr>
        <w:t>Legal Theory</w:t>
      </w:r>
    </w:p>
    <w:p w:rsidR="00F7349E" w:rsidRPr="0089746F" w:rsidRDefault="00F7349E" w:rsidP="00F7349E">
      <w:pPr>
        <w:pStyle w:val="ListParagraph"/>
        <w:numPr>
          <w:ilvl w:val="0"/>
          <w:numId w:val="12"/>
        </w:numPr>
        <w:ind w:right="-180"/>
        <w:rPr>
          <w:rFonts w:asciiTheme="minorHAnsi" w:hAnsiTheme="minorHAnsi" w:cstheme="minorHAnsi"/>
          <w:sz w:val="22"/>
          <w:szCs w:val="22"/>
        </w:rPr>
      </w:pPr>
      <w:proofErr w:type="spellStart"/>
      <w:r w:rsidRPr="0089746F">
        <w:rPr>
          <w:rFonts w:asciiTheme="minorHAnsi" w:hAnsiTheme="minorHAnsi" w:cstheme="minorHAnsi"/>
          <w:sz w:val="22"/>
          <w:szCs w:val="22"/>
        </w:rPr>
        <w:t>Hallaq</w:t>
      </w:r>
      <w:proofErr w:type="spellEnd"/>
      <w:r w:rsidRPr="0089746F">
        <w:rPr>
          <w:rFonts w:asciiTheme="minorHAnsi" w:hAnsiTheme="minorHAnsi" w:cstheme="minorHAnsi"/>
          <w:sz w:val="22"/>
          <w:szCs w:val="22"/>
        </w:rPr>
        <w:t>, Chapter Two</w:t>
      </w:r>
    </w:p>
    <w:p w:rsidR="00F7349E" w:rsidRPr="0089746F" w:rsidRDefault="00F7349E" w:rsidP="00F7349E">
      <w:pPr>
        <w:pStyle w:val="ListParagraph"/>
        <w:numPr>
          <w:ilvl w:val="0"/>
          <w:numId w:val="12"/>
        </w:numPr>
        <w:ind w:right="-180"/>
        <w:rPr>
          <w:rFonts w:asciiTheme="minorHAnsi" w:hAnsiTheme="minorHAnsi" w:cstheme="minorHAnsi"/>
          <w:sz w:val="22"/>
          <w:szCs w:val="22"/>
        </w:rPr>
      </w:pPr>
      <w:r w:rsidRPr="0089746F">
        <w:rPr>
          <w:rFonts w:asciiTheme="minorHAnsi" w:hAnsiTheme="minorHAnsi" w:cstheme="minorHAnsi"/>
          <w:sz w:val="22"/>
          <w:szCs w:val="22"/>
        </w:rPr>
        <w:t xml:space="preserve">Excerpt from </w:t>
      </w:r>
      <w:r w:rsidRPr="0089746F">
        <w:rPr>
          <w:rFonts w:asciiTheme="minorHAnsi" w:hAnsiTheme="minorHAnsi" w:cstheme="minorHAnsi"/>
          <w:i/>
          <w:iCs/>
          <w:sz w:val="22"/>
          <w:szCs w:val="22"/>
        </w:rPr>
        <w:t xml:space="preserve">The </w:t>
      </w:r>
      <w:proofErr w:type="spellStart"/>
      <w:r w:rsidRPr="0089746F">
        <w:rPr>
          <w:rFonts w:asciiTheme="minorHAnsi" w:hAnsiTheme="minorHAnsi" w:cstheme="minorHAnsi"/>
          <w:i/>
          <w:iCs/>
          <w:sz w:val="22"/>
          <w:szCs w:val="22"/>
        </w:rPr>
        <w:t>Muwatta</w:t>
      </w:r>
      <w:proofErr w:type="spellEnd"/>
    </w:p>
    <w:p w:rsidR="00F7349E" w:rsidRPr="0089746F" w:rsidRDefault="00F7349E" w:rsidP="00F7349E">
      <w:pPr>
        <w:pStyle w:val="ListParagraph"/>
        <w:numPr>
          <w:ilvl w:val="0"/>
          <w:numId w:val="12"/>
        </w:numPr>
        <w:ind w:right="-180"/>
        <w:rPr>
          <w:rFonts w:asciiTheme="minorHAnsi" w:hAnsiTheme="minorHAnsi" w:cstheme="minorHAnsi"/>
          <w:sz w:val="22"/>
          <w:szCs w:val="22"/>
        </w:rPr>
      </w:pPr>
      <w:r w:rsidRPr="0089746F">
        <w:rPr>
          <w:rFonts w:asciiTheme="minorHAnsi" w:hAnsiTheme="minorHAnsi" w:cstheme="minorHAnsi"/>
          <w:sz w:val="22"/>
          <w:szCs w:val="22"/>
          <w:u w:val="single"/>
        </w:rPr>
        <w:t>Further reading:</w:t>
      </w:r>
      <w:r w:rsidRPr="0089746F">
        <w:rPr>
          <w:rFonts w:asciiTheme="minorHAnsi" w:hAnsiTheme="minorHAnsi" w:cstheme="minorHAnsi"/>
          <w:sz w:val="22"/>
          <w:szCs w:val="22"/>
        </w:rPr>
        <w:t xml:space="preserve"> Adam Sabra, excerpt (pp. 102 -111) from “Ibn </w:t>
      </w:r>
      <w:proofErr w:type="spellStart"/>
      <w:r w:rsidRPr="0089746F">
        <w:rPr>
          <w:rFonts w:asciiTheme="minorHAnsi" w:hAnsiTheme="minorHAnsi" w:cstheme="minorHAnsi"/>
          <w:sz w:val="22"/>
          <w:szCs w:val="22"/>
        </w:rPr>
        <w:t>Ḥazm’s</w:t>
      </w:r>
      <w:proofErr w:type="spellEnd"/>
      <w:r w:rsidRPr="0089746F">
        <w:rPr>
          <w:rFonts w:asciiTheme="minorHAnsi" w:hAnsiTheme="minorHAnsi" w:cstheme="minorHAnsi"/>
          <w:sz w:val="22"/>
          <w:szCs w:val="22"/>
        </w:rPr>
        <w:t xml:space="preserve"> Literalism: A Critique of Islamic Legal Theory,” chapter in </w:t>
      </w:r>
      <w:r w:rsidRPr="0089746F">
        <w:rPr>
          <w:rFonts w:asciiTheme="minorHAnsi" w:hAnsiTheme="minorHAnsi" w:cstheme="minorHAnsi"/>
          <w:i/>
          <w:iCs/>
          <w:color w:val="000000"/>
          <w:sz w:val="22"/>
          <w:szCs w:val="22"/>
          <w:shd w:val="clear" w:color="auto" w:fill="FFFFFF"/>
        </w:rPr>
        <w:t xml:space="preserve">Ibn </w:t>
      </w:r>
      <w:proofErr w:type="spellStart"/>
      <w:r w:rsidRPr="0089746F">
        <w:rPr>
          <w:rFonts w:asciiTheme="minorHAnsi" w:hAnsiTheme="minorHAnsi" w:cstheme="minorHAnsi"/>
          <w:i/>
          <w:iCs/>
          <w:color w:val="000000"/>
          <w:sz w:val="22"/>
          <w:szCs w:val="22"/>
          <w:shd w:val="clear" w:color="auto" w:fill="FFFFFF"/>
        </w:rPr>
        <w:t>Ḥazm</w:t>
      </w:r>
      <w:proofErr w:type="spellEnd"/>
      <w:r w:rsidRPr="0089746F">
        <w:rPr>
          <w:rFonts w:asciiTheme="minorHAnsi" w:hAnsiTheme="minorHAnsi" w:cstheme="minorHAnsi"/>
          <w:i/>
          <w:iCs/>
          <w:color w:val="000000"/>
          <w:sz w:val="22"/>
          <w:szCs w:val="22"/>
          <w:shd w:val="clear" w:color="auto" w:fill="FFFFFF"/>
        </w:rPr>
        <w:t xml:space="preserve"> of Cordoba</w:t>
      </w:r>
      <w:r w:rsidRPr="0089746F">
        <w:rPr>
          <w:rFonts w:asciiTheme="minorHAnsi" w:hAnsiTheme="minorHAnsi" w:cstheme="minorHAnsi"/>
          <w:color w:val="000000"/>
          <w:sz w:val="22"/>
          <w:szCs w:val="22"/>
          <w:shd w:val="clear" w:color="auto" w:fill="FFFFFF"/>
        </w:rPr>
        <w:t xml:space="preserve">, edited by </w:t>
      </w:r>
      <w:proofErr w:type="spellStart"/>
      <w:r w:rsidRPr="0089746F">
        <w:rPr>
          <w:rFonts w:asciiTheme="minorHAnsi" w:hAnsiTheme="minorHAnsi" w:cstheme="minorHAnsi"/>
          <w:color w:val="000000"/>
          <w:sz w:val="22"/>
          <w:szCs w:val="22"/>
          <w:shd w:val="clear" w:color="auto" w:fill="FFFFFF"/>
        </w:rPr>
        <w:t>Adang</w:t>
      </w:r>
      <w:proofErr w:type="spellEnd"/>
      <w:r w:rsidRPr="0089746F">
        <w:rPr>
          <w:rFonts w:asciiTheme="minorHAnsi" w:hAnsiTheme="minorHAnsi" w:cstheme="minorHAnsi"/>
          <w:color w:val="000000"/>
          <w:sz w:val="22"/>
          <w:szCs w:val="22"/>
          <w:shd w:val="clear" w:color="auto" w:fill="FFFFFF"/>
        </w:rPr>
        <w:t xml:space="preserve">, Camilla, Maribel Fierro, and Sabine </w:t>
      </w:r>
      <w:proofErr w:type="spellStart"/>
      <w:r w:rsidRPr="0089746F">
        <w:rPr>
          <w:rFonts w:asciiTheme="minorHAnsi" w:hAnsiTheme="minorHAnsi" w:cstheme="minorHAnsi"/>
          <w:color w:val="000000"/>
          <w:sz w:val="22"/>
          <w:szCs w:val="22"/>
          <w:shd w:val="clear" w:color="auto" w:fill="FFFFFF"/>
        </w:rPr>
        <w:t>Schmidtke</w:t>
      </w:r>
      <w:proofErr w:type="spellEnd"/>
      <w:r w:rsidRPr="0089746F">
        <w:rPr>
          <w:rFonts w:asciiTheme="minorHAnsi" w:hAnsiTheme="minorHAnsi" w:cstheme="minorHAnsi"/>
          <w:color w:val="000000"/>
          <w:sz w:val="22"/>
          <w:szCs w:val="22"/>
          <w:shd w:val="clear" w:color="auto" w:fill="FFFFFF"/>
        </w:rPr>
        <w:t>, (Leiden, The Netherlands: Brill, 19 Dec. 2012), 97 – 160.</w:t>
      </w:r>
      <w:r w:rsidRPr="0089746F">
        <w:rPr>
          <w:rFonts w:asciiTheme="minorHAnsi" w:hAnsiTheme="minorHAnsi" w:cstheme="minorHAnsi"/>
          <w:b/>
          <w:bCs/>
          <w:color w:val="000000"/>
          <w:sz w:val="22"/>
          <w:szCs w:val="22"/>
          <w:shd w:val="clear" w:color="auto" w:fill="FFFFFF"/>
        </w:rPr>
        <w:t xml:space="preserve"> </w:t>
      </w:r>
    </w:p>
    <w:p w:rsidR="00F7349E" w:rsidRPr="0089746F" w:rsidRDefault="00F7349E" w:rsidP="00F7349E">
      <w:pPr>
        <w:ind w:right="-180"/>
        <w:rPr>
          <w:rFonts w:cstheme="minorHAnsi"/>
        </w:rPr>
      </w:pPr>
    </w:p>
    <w:p w:rsidR="00F7349E" w:rsidRPr="00A3356B" w:rsidRDefault="00F7349E" w:rsidP="00F7349E">
      <w:pPr>
        <w:ind w:right="-180"/>
        <w:rPr>
          <w:rFonts w:cstheme="minorHAnsi"/>
          <w:b/>
          <w:bCs/>
        </w:rPr>
      </w:pPr>
      <w:r w:rsidRPr="00A3356B">
        <w:rPr>
          <w:rFonts w:cstheme="minorHAnsi"/>
          <w:b/>
          <w:bCs/>
        </w:rPr>
        <w:t>February 2: Legal Education and the Politics of Law</w:t>
      </w:r>
      <w:r>
        <w:rPr>
          <w:rFonts w:cstheme="minorHAnsi"/>
          <w:b/>
          <w:bCs/>
        </w:rPr>
        <w:t>; Law and Society</w:t>
      </w:r>
    </w:p>
    <w:p w:rsidR="00F7349E" w:rsidRDefault="00F7349E" w:rsidP="00F7349E">
      <w:pPr>
        <w:pStyle w:val="ListParagraph"/>
        <w:numPr>
          <w:ilvl w:val="0"/>
          <w:numId w:val="12"/>
        </w:numPr>
        <w:ind w:right="-180"/>
        <w:rPr>
          <w:rFonts w:asciiTheme="minorHAnsi" w:hAnsiTheme="minorHAnsi" w:cstheme="minorHAnsi"/>
          <w:sz w:val="22"/>
          <w:szCs w:val="22"/>
        </w:rPr>
      </w:pPr>
      <w:proofErr w:type="spellStart"/>
      <w:r w:rsidRPr="00A3356B">
        <w:rPr>
          <w:rFonts w:asciiTheme="minorHAnsi" w:hAnsiTheme="minorHAnsi" w:cstheme="minorHAnsi"/>
          <w:sz w:val="22"/>
          <w:szCs w:val="22"/>
        </w:rPr>
        <w:t>Hallaq</w:t>
      </w:r>
      <w:proofErr w:type="spellEnd"/>
      <w:r w:rsidRPr="00A3356B">
        <w:rPr>
          <w:rFonts w:asciiTheme="minorHAnsi" w:hAnsiTheme="minorHAnsi" w:cstheme="minorHAnsi"/>
          <w:sz w:val="22"/>
          <w:szCs w:val="22"/>
        </w:rPr>
        <w:t>, Chapter Three</w:t>
      </w:r>
    </w:p>
    <w:p w:rsidR="00F7349E" w:rsidRDefault="00F7349E" w:rsidP="00F7349E">
      <w:pPr>
        <w:pStyle w:val="ListParagraph"/>
        <w:numPr>
          <w:ilvl w:val="0"/>
          <w:numId w:val="12"/>
        </w:numPr>
        <w:ind w:right="-180"/>
        <w:rPr>
          <w:rFonts w:asciiTheme="minorHAnsi" w:hAnsiTheme="minorHAnsi" w:cstheme="minorHAnsi"/>
          <w:sz w:val="22"/>
          <w:szCs w:val="22"/>
        </w:rPr>
      </w:pPr>
      <w:proofErr w:type="spellStart"/>
      <w:r>
        <w:rPr>
          <w:rFonts w:asciiTheme="minorHAnsi" w:hAnsiTheme="minorHAnsi" w:cstheme="minorHAnsi"/>
          <w:sz w:val="22"/>
          <w:szCs w:val="22"/>
        </w:rPr>
        <w:t>Hallaq</w:t>
      </w:r>
      <w:proofErr w:type="spellEnd"/>
      <w:r>
        <w:rPr>
          <w:rFonts w:asciiTheme="minorHAnsi" w:hAnsiTheme="minorHAnsi" w:cstheme="minorHAnsi"/>
          <w:sz w:val="22"/>
          <w:szCs w:val="22"/>
        </w:rPr>
        <w:t>, Chapter Four</w:t>
      </w:r>
    </w:p>
    <w:p w:rsidR="00F7349E" w:rsidRDefault="00F7349E" w:rsidP="00F7349E">
      <w:pPr>
        <w:pStyle w:val="ListParagraph"/>
        <w:numPr>
          <w:ilvl w:val="0"/>
          <w:numId w:val="12"/>
        </w:numPr>
        <w:ind w:right="-180"/>
        <w:rPr>
          <w:rFonts w:asciiTheme="minorHAnsi" w:hAnsiTheme="minorHAnsi" w:cstheme="minorHAnsi"/>
          <w:sz w:val="22"/>
          <w:szCs w:val="22"/>
        </w:rPr>
      </w:pPr>
      <w:r w:rsidRPr="00AB0DE9">
        <w:rPr>
          <w:rFonts w:asciiTheme="minorHAnsi" w:hAnsiTheme="minorHAnsi" w:cstheme="minorHAnsi"/>
          <w:sz w:val="22"/>
          <w:szCs w:val="22"/>
          <w:u w:val="single"/>
        </w:rPr>
        <w:t>Further Reading:</w:t>
      </w:r>
      <w:r>
        <w:rPr>
          <w:rFonts w:asciiTheme="minorHAnsi" w:hAnsiTheme="minorHAnsi" w:cstheme="minorHAnsi"/>
          <w:sz w:val="22"/>
          <w:szCs w:val="22"/>
        </w:rPr>
        <w:t xml:space="preserve"> Excerpts from George </w:t>
      </w:r>
      <w:proofErr w:type="spellStart"/>
      <w:r>
        <w:rPr>
          <w:rFonts w:asciiTheme="minorHAnsi" w:hAnsiTheme="minorHAnsi" w:cstheme="minorHAnsi"/>
          <w:sz w:val="22"/>
          <w:szCs w:val="22"/>
        </w:rPr>
        <w:t>Makdisi</w:t>
      </w:r>
      <w:proofErr w:type="spellEnd"/>
      <w:r>
        <w:rPr>
          <w:rFonts w:asciiTheme="minorHAnsi" w:hAnsiTheme="minorHAnsi" w:cstheme="minorHAnsi"/>
          <w:sz w:val="22"/>
          <w:szCs w:val="22"/>
        </w:rPr>
        <w:t xml:space="preserve">, </w:t>
      </w:r>
      <w:r>
        <w:rPr>
          <w:rFonts w:asciiTheme="minorHAnsi" w:hAnsiTheme="minorHAnsi" w:cstheme="minorHAnsi"/>
          <w:i/>
          <w:iCs/>
          <w:sz w:val="22"/>
          <w:szCs w:val="22"/>
        </w:rPr>
        <w:t xml:space="preserve">The Rise of Colleges: Institutions of Learning in Islam and the West </w:t>
      </w:r>
      <w:r>
        <w:rPr>
          <w:rFonts w:asciiTheme="minorHAnsi" w:hAnsiTheme="minorHAnsi" w:cstheme="minorHAnsi"/>
          <w:sz w:val="22"/>
          <w:szCs w:val="22"/>
        </w:rPr>
        <w:t>(Edinburgh: Edinburgh University Press, 1981)</w:t>
      </w:r>
    </w:p>
    <w:p w:rsidR="00F7349E" w:rsidRPr="00A3356B" w:rsidRDefault="00F7349E" w:rsidP="00F7349E">
      <w:pPr>
        <w:ind w:right="-180"/>
        <w:rPr>
          <w:rFonts w:cstheme="minorHAnsi"/>
          <w:b/>
          <w:bCs/>
        </w:rPr>
      </w:pPr>
    </w:p>
    <w:p w:rsidR="00F7349E" w:rsidRPr="00A3356B" w:rsidRDefault="00F7349E" w:rsidP="00F7349E">
      <w:pPr>
        <w:ind w:right="-180"/>
        <w:rPr>
          <w:rFonts w:cstheme="minorHAnsi"/>
          <w:b/>
          <w:bCs/>
        </w:rPr>
      </w:pPr>
      <w:r w:rsidRPr="00A3356B">
        <w:rPr>
          <w:rFonts w:cstheme="minorHAnsi"/>
          <w:b/>
          <w:bCs/>
        </w:rPr>
        <w:t>February 9: The Circle of Justice and Later Dynasties</w:t>
      </w:r>
      <w:r>
        <w:rPr>
          <w:rFonts w:cstheme="minorHAnsi"/>
          <w:b/>
          <w:bCs/>
        </w:rPr>
        <w:t>; Family Law and Succession</w:t>
      </w:r>
    </w:p>
    <w:p w:rsidR="00F7349E" w:rsidRDefault="00F7349E" w:rsidP="00F7349E">
      <w:pPr>
        <w:pStyle w:val="ListParagraph"/>
        <w:numPr>
          <w:ilvl w:val="0"/>
          <w:numId w:val="12"/>
        </w:numPr>
        <w:ind w:right="-180"/>
        <w:rPr>
          <w:rFonts w:asciiTheme="minorHAnsi" w:hAnsiTheme="minorHAnsi" w:cstheme="minorHAnsi"/>
          <w:sz w:val="22"/>
          <w:szCs w:val="22"/>
        </w:rPr>
      </w:pPr>
      <w:proofErr w:type="spellStart"/>
      <w:r w:rsidRPr="00A3356B">
        <w:rPr>
          <w:rFonts w:asciiTheme="minorHAnsi" w:hAnsiTheme="minorHAnsi" w:cstheme="minorHAnsi"/>
          <w:sz w:val="22"/>
          <w:szCs w:val="22"/>
        </w:rPr>
        <w:t>Hallaq</w:t>
      </w:r>
      <w:proofErr w:type="spellEnd"/>
      <w:r w:rsidRPr="00A3356B">
        <w:rPr>
          <w:rFonts w:asciiTheme="minorHAnsi" w:hAnsiTheme="minorHAnsi" w:cstheme="minorHAnsi"/>
          <w:sz w:val="22"/>
          <w:szCs w:val="22"/>
        </w:rPr>
        <w:t>, Chapter Five</w:t>
      </w:r>
    </w:p>
    <w:p w:rsidR="00F7349E" w:rsidRDefault="00F7349E" w:rsidP="00F7349E">
      <w:pPr>
        <w:pStyle w:val="ListParagraph"/>
        <w:numPr>
          <w:ilvl w:val="0"/>
          <w:numId w:val="12"/>
        </w:numPr>
        <w:ind w:right="-180"/>
        <w:rPr>
          <w:rFonts w:asciiTheme="minorHAnsi" w:hAnsiTheme="minorHAnsi" w:cstheme="minorHAnsi"/>
          <w:sz w:val="22"/>
          <w:szCs w:val="22"/>
        </w:rPr>
      </w:pPr>
      <w:proofErr w:type="spellStart"/>
      <w:r>
        <w:rPr>
          <w:rFonts w:asciiTheme="minorHAnsi" w:hAnsiTheme="minorHAnsi" w:cstheme="minorHAnsi"/>
          <w:sz w:val="22"/>
          <w:szCs w:val="22"/>
        </w:rPr>
        <w:t>Hallaq</w:t>
      </w:r>
      <w:proofErr w:type="spellEnd"/>
      <w:r>
        <w:rPr>
          <w:rFonts w:asciiTheme="minorHAnsi" w:hAnsiTheme="minorHAnsi" w:cstheme="minorHAnsi"/>
          <w:sz w:val="22"/>
          <w:szCs w:val="22"/>
        </w:rPr>
        <w:t>, Chapter Eight</w:t>
      </w:r>
    </w:p>
    <w:p w:rsidR="00F7349E" w:rsidRPr="00953C41" w:rsidRDefault="00F7349E" w:rsidP="00F7349E">
      <w:pPr>
        <w:pStyle w:val="ListParagraph"/>
        <w:numPr>
          <w:ilvl w:val="0"/>
          <w:numId w:val="12"/>
        </w:numPr>
        <w:rPr>
          <w:rFonts w:asciiTheme="minorHAnsi" w:hAnsiTheme="minorHAnsi" w:cstheme="minorHAnsi"/>
          <w:sz w:val="22"/>
          <w:szCs w:val="22"/>
        </w:rPr>
      </w:pPr>
      <w:r w:rsidRPr="00AB0DE9">
        <w:rPr>
          <w:rFonts w:asciiTheme="minorHAnsi" w:hAnsiTheme="minorHAnsi" w:cstheme="minorHAnsi"/>
          <w:sz w:val="22"/>
          <w:szCs w:val="22"/>
          <w:u w:val="single"/>
        </w:rPr>
        <w:t>Further reading:</w:t>
      </w:r>
      <w:r>
        <w:rPr>
          <w:rFonts w:asciiTheme="minorHAnsi" w:hAnsiTheme="minorHAnsi" w:cstheme="minorHAnsi"/>
          <w:sz w:val="22"/>
          <w:szCs w:val="22"/>
        </w:rPr>
        <w:t xml:space="preserve"> </w:t>
      </w:r>
      <w:r w:rsidRPr="00A3356B">
        <w:rPr>
          <w:rFonts w:asciiTheme="minorHAnsi" w:hAnsiTheme="minorHAnsi" w:cstheme="minorHAnsi"/>
          <w:sz w:val="22"/>
          <w:szCs w:val="22"/>
        </w:rPr>
        <w:t>Ingrid Mattson, “Women, Gender and Family Law:  Early Period 7</w:t>
      </w:r>
      <w:r w:rsidRPr="00A3356B">
        <w:rPr>
          <w:rFonts w:asciiTheme="minorHAnsi" w:hAnsiTheme="minorHAnsi" w:cstheme="minorHAnsi"/>
          <w:sz w:val="22"/>
          <w:szCs w:val="22"/>
          <w:vertAlign w:val="superscript"/>
        </w:rPr>
        <w:t>th</w:t>
      </w:r>
      <w:r w:rsidRPr="00A3356B">
        <w:rPr>
          <w:rFonts w:asciiTheme="minorHAnsi" w:hAnsiTheme="minorHAnsi" w:cstheme="minorHAnsi"/>
          <w:sz w:val="22"/>
          <w:szCs w:val="22"/>
        </w:rPr>
        <w:t>-Late 18</w:t>
      </w:r>
      <w:r w:rsidRPr="00A3356B">
        <w:rPr>
          <w:rFonts w:asciiTheme="minorHAnsi" w:hAnsiTheme="minorHAnsi" w:cstheme="minorHAnsi"/>
          <w:sz w:val="22"/>
          <w:szCs w:val="22"/>
          <w:vertAlign w:val="superscript"/>
        </w:rPr>
        <w:t>th</w:t>
      </w:r>
      <w:r w:rsidRPr="00A3356B">
        <w:rPr>
          <w:rFonts w:asciiTheme="minorHAnsi" w:hAnsiTheme="minorHAnsi" w:cstheme="minorHAnsi"/>
          <w:sz w:val="22"/>
          <w:szCs w:val="22"/>
        </w:rPr>
        <w:t xml:space="preserve"> Centuries, </w:t>
      </w:r>
      <w:r w:rsidRPr="00A3356B">
        <w:rPr>
          <w:rFonts w:asciiTheme="minorHAnsi" w:hAnsiTheme="minorHAnsi" w:cstheme="minorHAnsi"/>
          <w:i/>
          <w:iCs/>
          <w:sz w:val="22"/>
          <w:szCs w:val="22"/>
        </w:rPr>
        <w:t xml:space="preserve">Encyclopedia of Women in Islamic Cultures </w:t>
      </w:r>
      <w:r w:rsidRPr="00A3356B">
        <w:rPr>
          <w:rFonts w:asciiTheme="minorHAnsi" w:hAnsiTheme="minorHAnsi" w:cstheme="minorHAnsi"/>
          <w:sz w:val="22"/>
          <w:szCs w:val="22"/>
        </w:rPr>
        <w:t>(Leiden:  Brill, 2005).</w:t>
      </w:r>
    </w:p>
    <w:p w:rsidR="00F7349E" w:rsidRPr="00A3356B" w:rsidRDefault="00F7349E" w:rsidP="00F7349E">
      <w:pPr>
        <w:ind w:right="-180"/>
        <w:rPr>
          <w:rFonts w:cstheme="minorHAnsi"/>
        </w:rPr>
      </w:pPr>
    </w:p>
    <w:p w:rsidR="00F7349E" w:rsidRPr="00A3356B" w:rsidRDefault="00F7349E" w:rsidP="00F7349E">
      <w:pPr>
        <w:ind w:right="-180"/>
        <w:rPr>
          <w:rFonts w:cstheme="minorHAnsi"/>
          <w:b/>
          <w:bCs/>
        </w:rPr>
      </w:pPr>
      <w:r w:rsidRPr="00A3356B">
        <w:rPr>
          <w:rFonts w:cstheme="minorHAnsi"/>
          <w:b/>
          <w:bCs/>
        </w:rPr>
        <w:t xml:space="preserve">February 16: </w:t>
      </w:r>
      <w:r>
        <w:rPr>
          <w:rFonts w:cstheme="minorHAnsi"/>
          <w:b/>
          <w:bCs/>
        </w:rPr>
        <w:t>The Legal Pillars of Religion; Property and Ownership; Animals</w:t>
      </w:r>
    </w:p>
    <w:p w:rsidR="00F7349E" w:rsidRDefault="00F7349E" w:rsidP="00F7349E">
      <w:pPr>
        <w:pStyle w:val="ListParagraph"/>
        <w:numPr>
          <w:ilvl w:val="0"/>
          <w:numId w:val="12"/>
        </w:numPr>
        <w:ind w:right="-180"/>
        <w:rPr>
          <w:rFonts w:asciiTheme="minorHAnsi" w:hAnsiTheme="minorHAnsi" w:cstheme="minorHAnsi"/>
          <w:sz w:val="22"/>
          <w:szCs w:val="22"/>
        </w:rPr>
      </w:pPr>
      <w:proofErr w:type="spellStart"/>
      <w:r w:rsidRPr="00A3356B">
        <w:rPr>
          <w:rFonts w:asciiTheme="minorHAnsi" w:hAnsiTheme="minorHAnsi" w:cstheme="minorHAnsi"/>
          <w:sz w:val="22"/>
          <w:szCs w:val="22"/>
        </w:rPr>
        <w:t>Hallaq</w:t>
      </w:r>
      <w:proofErr w:type="spellEnd"/>
      <w:r w:rsidRPr="00A3356B">
        <w:rPr>
          <w:rFonts w:asciiTheme="minorHAnsi" w:hAnsiTheme="minorHAnsi" w:cstheme="minorHAnsi"/>
          <w:sz w:val="22"/>
          <w:szCs w:val="22"/>
        </w:rPr>
        <w:t>, Chapter Six</w:t>
      </w:r>
    </w:p>
    <w:p w:rsidR="00F7349E" w:rsidRDefault="00F7349E" w:rsidP="00F7349E">
      <w:pPr>
        <w:pStyle w:val="ListParagraph"/>
        <w:numPr>
          <w:ilvl w:val="0"/>
          <w:numId w:val="12"/>
        </w:numPr>
        <w:ind w:right="-180"/>
        <w:rPr>
          <w:rFonts w:asciiTheme="minorHAnsi" w:hAnsiTheme="minorHAnsi" w:cstheme="minorHAnsi"/>
          <w:sz w:val="22"/>
          <w:szCs w:val="22"/>
        </w:rPr>
      </w:pPr>
      <w:proofErr w:type="spellStart"/>
      <w:r w:rsidRPr="00E339F1">
        <w:rPr>
          <w:rFonts w:asciiTheme="minorHAnsi" w:hAnsiTheme="minorHAnsi" w:cstheme="minorHAnsi"/>
          <w:sz w:val="22"/>
          <w:szCs w:val="22"/>
        </w:rPr>
        <w:t>Hallaq</w:t>
      </w:r>
      <w:proofErr w:type="spellEnd"/>
      <w:r w:rsidRPr="00E339F1">
        <w:rPr>
          <w:rFonts w:asciiTheme="minorHAnsi" w:hAnsiTheme="minorHAnsi" w:cstheme="minorHAnsi"/>
          <w:sz w:val="22"/>
          <w:szCs w:val="22"/>
        </w:rPr>
        <w:t>, Chapter Nine</w:t>
      </w:r>
    </w:p>
    <w:p w:rsidR="00F7349E" w:rsidRPr="00535F5A" w:rsidRDefault="00F7349E" w:rsidP="00F7349E">
      <w:pPr>
        <w:pStyle w:val="ListParagraph"/>
        <w:numPr>
          <w:ilvl w:val="0"/>
          <w:numId w:val="12"/>
        </w:numPr>
        <w:ind w:right="-180"/>
        <w:rPr>
          <w:rFonts w:asciiTheme="minorHAnsi" w:hAnsiTheme="minorHAnsi" w:cstheme="minorHAnsi"/>
          <w:sz w:val="22"/>
          <w:szCs w:val="22"/>
        </w:rPr>
      </w:pPr>
      <w:r w:rsidRPr="00E339F1">
        <w:rPr>
          <w:rFonts w:asciiTheme="minorHAnsi" w:hAnsiTheme="minorHAnsi" w:cstheme="minorHAnsi"/>
          <w:sz w:val="22"/>
          <w:szCs w:val="22"/>
        </w:rPr>
        <w:t xml:space="preserve">Read excerpt “The Book of </w:t>
      </w:r>
      <w:proofErr w:type="spellStart"/>
      <w:r w:rsidRPr="00E339F1">
        <w:rPr>
          <w:rFonts w:asciiTheme="minorHAnsi" w:hAnsiTheme="minorHAnsi" w:cstheme="minorHAnsi"/>
          <w:i/>
          <w:iCs/>
          <w:sz w:val="22"/>
          <w:szCs w:val="22"/>
        </w:rPr>
        <w:t>Ṣayd</w:t>
      </w:r>
      <w:proofErr w:type="spellEnd"/>
      <w:r w:rsidRPr="00E339F1">
        <w:rPr>
          <w:rFonts w:asciiTheme="minorHAnsi" w:hAnsiTheme="minorHAnsi" w:cstheme="minorHAnsi"/>
          <w:i/>
          <w:iCs/>
          <w:sz w:val="22"/>
          <w:szCs w:val="22"/>
        </w:rPr>
        <w:t xml:space="preserve"> </w:t>
      </w:r>
      <w:r w:rsidRPr="00E339F1">
        <w:rPr>
          <w:rFonts w:asciiTheme="minorHAnsi" w:hAnsiTheme="minorHAnsi" w:cstheme="minorHAnsi"/>
          <w:sz w:val="22"/>
          <w:szCs w:val="22"/>
        </w:rPr>
        <w:t xml:space="preserve">(Hunting),” from </w:t>
      </w:r>
      <w:r w:rsidRPr="00E339F1">
        <w:rPr>
          <w:rFonts w:ascii="Calibri" w:hAnsi="Calibri" w:cs="Calibri"/>
          <w:sz w:val="22"/>
          <w:szCs w:val="22"/>
        </w:rPr>
        <w:t xml:space="preserve">Muhammad ibn Ahmed </w:t>
      </w:r>
      <w:proofErr w:type="gramStart"/>
      <w:r w:rsidRPr="00E339F1">
        <w:rPr>
          <w:rFonts w:asciiTheme="minorHAnsi" w:hAnsiTheme="minorHAnsi" w:cstheme="minorHAnsi"/>
          <w:sz w:val="22"/>
          <w:szCs w:val="22"/>
        </w:rPr>
        <w:t>Ibn</w:t>
      </w:r>
      <w:proofErr w:type="gramEnd"/>
      <w:r w:rsidRPr="00E339F1">
        <w:rPr>
          <w:rFonts w:asciiTheme="minorHAnsi" w:hAnsiTheme="minorHAnsi" w:cstheme="minorHAnsi"/>
          <w:sz w:val="22"/>
          <w:szCs w:val="22"/>
        </w:rPr>
        <w:t xml:space="preserve"> </w:t>
      </w:r>
      <w:proofErr w:type="spellStart"/>
      <w:r w:rsidRPr="00E339F1">
        <w:rPr>
          <w:rFonts w:asciiTheme="minorHAnsi" w:hAnsiTheme="minorHAnsi" w:cstheme="minorHAnsi"/>
          <w:sz w:val="22"/>
          <w:szCs w:val="22"/>
        </w:rPr>
        <w:t>Rushd</w:t>
      </w:r>
      <w:proofErr w:type="spellEnd"/>
      <w:r w:rsidRPr="00E339F1">
        <w:rPr>
          <w:rFonts w:ascii="Calibri" w:hAnsi="Calibri" w:cs="Calibri"/>
          <w:sz w:val="22"/>
          <w:szCs w:val="22"/>
        </w:rPr>
        <w:t xml:space="preserve">, </w:t>
      </w:r>
      <w:proofErr w:type="spellStart"/>
      <w:r w:rsidRPr="00E339F1">
        <w:rPr>
          <w:rFonts w:ascii="Calibri" w:hAnsi="Calibri" w:cs="Calibri"/>
          <w:i/>
          <w:color w:val="00B050"/>
          <w:sz w:val="22"/>
          <w:szCs w:val="22"/>
        </w:rPr>
        <w:t>Bidayat</w:t>
      </w:r>
      <w:proofErr w:type="spellEnd"/>
      <w:r w:rsidRPr="00E339F1">
        <w:rPr>
          <w:rFonts w:ascii="Calibri" w:hAnsi="Calibri" w:cs="Calibri"/>
          <w:i/>
          <w:color w:val="00B050"/>
          <w:sz w:val="22"/>
          <w:szCs w:val="22"/>
        </w:rPr>
        <w:t xml:space="preserve"> al-Mujtahid</w:t>
      </w:r>
      <w:r w:rsidRPr="00E339F1">
        <w:rPr>
          <w:rFonts w:ascii="Calibri" w:hAnsi="Calibri" w:cs="Calibri"/>
          <w:sz w:val="22"/>
          <w:szCs w:val="22"/>
        </w:rPr>
        <w:t xml:space="preserve"> </w:t>
      </w:r>
    </w:p>
    <w:p w:rsidR="00F7349E" w:rsidRPr="00E339F1" w:rsidRDefault="00F7349E" w:rsidP="00F7349E">
      <w:pPr>
        <w:pStyle w:val="ListParagraph"/>
        <w:numPr>
          <w:ilvl w:val="0"/>
          <w:numId w:val="12"/>
        </w:numPr>
        <w:ind w:right="-180"/>
        <w:rPr>
          <w:rFonts w:asciiTheme="minorHAnsi" w:hAnsiTheme="minorHAnsi" w:cstheme="minorHAnsi"/>
          <w:sz w:val="22"/>
          <w:szCs w:val="22"/>
        </w:rPr>
      </w:pPr>
      <w:r w:rsidRPr="00AB0DE9">
        <w:rPr>
          <w:rFonts w:asciiTheme="minorHAnsi" w:hAnsiTheme="minorHAnsi" w:cstheme="minorHAnsi"/>
          <w:sz w:val="22"/>
          <w:szCs w:val="22"/>
          <w:u w:val="single"/>
        </w:rPr>
        <w:t>Further reading:</w:t>
      </w:r>
      <w:r w:rsidRPr="00E339F1">
        <w:rPr>
          <w:rFonts w:asciiTheme="minorHAnsi" w:hAnsiTheme="minorHAnsi" w:cstheme="minorHAnsi"/>
          <w:sz w:val="22"/>
          <w:szCs w:val="22"/>
        </w:rPr>
        <w:t xml:space="preserve"> Alan Mikhail, </w:t>
      </w:r>
      <w:r>
        <w:rPr>
          <w:rFonts w:asciiTheme="minorHAnsi" w:hAnsiTheme="minorHAnsi" w:cstheme="minorHAnsi"/>
          <w:sz w:val="22"/>
          <w:szCs w:val="22"/>
        </w:rPr>
        <w:t xml:space="preserve">“Early Modern Human and Animal,” Chapter One of </w:t>
      </w:r>
      <w:proofErr w:type="gramStart"/>
      <w:r>
        <w:rPr>
          <w:rFonts w:asciiTheme="minorHAnsi" w:hAnsiTheme="minorHAnsi" w:cstheme="minorHAnsi"/>
          <w:i/>
          <w:iCs/>
          <w:sz w:val="22"/>
          <w:szCs w:val="22"/>
        </w:rPr>
        <w:t>The</w:t>
      </w:r>
      <w:proofErr w:type="gramEnd"/>
      <w:r>
        <w:rPr>
          <w:rFonts w:asciiTheme="minorHAnsi" w:hAnsiTheme="minorHAnsi" w:cstheme="minorHAnsi"/>
          <w:i/>
          <w:iCs/>
          <w:sz w:val="22"/>
          <w:szCs w:val="22"/>
        </w:rPr>
        <w:t xml:space="preserve"> Animal in Ottoman Egypt</w:t>
      </w:r>
    </w:p>
    <w:p w:rsidR="00F7349E" w:rsidRPr="00953C41" w:rsidRDefault="00F7349E" w:rsidP="00F7349E">
      <w:pPr>
        <w:pStyle w:val="ListParagraph"/>
        <w:numPr>
          <w:ilvl w:val="0"/>
          <w:numId w:val="12"/>
        </w:numPr>
        <w:ind w:right="-180"/>
        <w:rPr>
          <w:rFonts w:asciiTheme="minorHAnsi" w:hAnsiTheme="minorHAnsi" w:cstheme="minorHAnsi"/>
          <w:sz w:val="22"/>
          <w:szCs w:val="22"/>
        </w:rPr>
      </w:pPr>
      <w:r w:rsidRPr="00AB0DE9">
        <w:rPr>
          <w:rFonts w:ascii="Calibri" w:hAnsi="Calibri" w:cs="Calibri"/>
          <w:sz w:val="22"/>
          <w:szCs w:val="22"/>
          <w:u w:val="single"/>
        </w:rPr>
        <w:t>Further reading:</w:t>
      </w:r>
      <w:r w:rsidRPr="00E339F1">
        <w:rPr>
          <w:rFonts w:ascii="Calibri" w:hAnsi="Calibri" w:cs="Calibri"/>
          <w:sz w:val="22"/>
          <w:szCs w:val="22"/>
        </w:rPr>
        <w:t xml:space="preserve"> Hussein Hassan, “Contracts in Islamic Law:  the Principles of Commutative Justice and Liberality,” </w:t>
      </w:r>
      <w:r w:rsidRPr="00E339F1">
        <w:rPr>
          <w:rFonts w:ascii="Calibri" w:hAnsi="Calibri" w:cs="Calibri"/>
          <w:i/>
          <w:iCs/>
          <w:sz w:val="22"/>
          <w:szCs w:val="22"/>
        </w:rPr>
        <w:t>Journal of Islamic Studies</w:t>
      </w:r>
      <w:r w:rsidRPr="00E339F1">
        <w:rPr>
          <w:rFonts w:ascii="Calibri" w:hAnsi="Calibri" w:cs="Calibri"/>
          <w:sz w:val="22"/>
          <w:szCs w:val="22"/>
        </w:rPr>
        <w:t xml:space="preserve"> 13:3 (2002): 257-297.</w:t>
      </w:r>
    </w:p>
    <w:p w:rsidR="00EC6D21" w:rsidRPr="00435066" w:rsidRDefault="00EC6D21" w:rsidP="00EC6D21">
      <w:pPr>
        <w:ind w:right="-180"/>
        <w:rPr>
          <w:rFonts w:cstheme="minorHAnsi"/>
        </w:rPr>
      </w:pPr>
    </w:p>
    <w:p w:rsidR="00EC6D21" w:rsidRPr="00435066" w:rsidRDefault="00EC6D21" w:rsidP="00EC6D21">
      <w:pPr>
        <w:ind w:right="-180"/>
        <w:rPr>
          <w:rFonts w:cstheme="minorHAnsi"/>
          <w:b/>
          <w:bCs/>
        </w:rPr>
      </w:pPr>
      <w:r w:rsidRPr="00435066">
        <w:rPr>
          <w:rFonts w:cstheme="minorHAnsi"/>
          <w:b/>
          <w:bCs/>
        </w:rPr>
        <w:t xml:space="preserve">February 24: Reading Week - </w:t>
      </w:r>
      <w:r w:rsidRPr="00435066">
        <w:rPr>
          <w:rFonts w:cstheme="minorHAnsi"/>
        </w:rPr>
        <w:t>No classes</w:t>
      </w:r>
    </w:p>
    <w:p w:rsidR="00EC6D21" w:rsidRPr="00435066" w:rsidRDefault="00EC6D21" w:rsidP="00EC6D21">
      <w:pPr>
        <w:ind w:right="-180"/>
        <w:rPr>
          <w:rFonts w:cstheme="minorHAnsi"/>
        </w:rPr>
      </w:pPr>
    </w:p>
    <w:p w:rsidR="00EC6D21" w:rsidRPr="00435066" w:rsidRDefault="00EC6D21" w:rsidP="00EC6D21">
      <w:pPr>
        <w:ind w:right="-180"/>
        <w:rPr>
          <w:rFonts w:cstheme="minorHAnsi"/>
          <w:b/>
          <w:bCs/>
        </w:rPr>
      </w:pPr>
      <w:r w:rsidRPr="00435066">
        <w:rPr>
          <w:rFonts w:cstheme="minorHAnsi"/>
          <w:b/>
          <w:bCs/>
        </w:rPr>
        <w:t xml:space="preserve">March 2: </w:t>
      </w:r>
      <w:r w:rsidRPr="00435066">
        <w:rPr>
          <w:rFonts w:cstheme="minorHAnsi"/>
          <w:b/>
          <w:bCs/>
          <w:color w:val="FF0000"/>
        </w:rPr>
        <w:t>Book reports – due and presented</w:t>
      </w:r>
    </w:p>
    <w:p w:rsidR="00EC6D21" w:rsidRPr="00435066" w:rsidRDefault="00EC6D21" w:rsidP="00EC6D21">
      <w:pPr>
        <w:ind w:right="-180"/>
        <w:rPr>
          <w:rFonts w:cstheme="minorHAnsi"/>
          <w:b/>
          <w:bCs/>
        </w:rPr>
      </w:pPr>
    </w:p>
    <w:p w:rsidR="00EC6D21" w:rsidRPr="00435066" w:rsidRDefault="00EC6D21" w:rsidP="00EC6D21">
      <w:pPr>
        <w:ind w:right="-180"/>
        <w:rPr>
          <w:rFonts w:cstheme="minorHAnsi"/>
        </w:rPr>
      </w:pPr>
      <w:r w:rsidRPr="00435066">
        <w:rPr>
          <w:rFonts w:cstheme="minorHAnsi"/>
          <w:b/>
          <w:bCs/>
        </w:rPr>
        <w:t>March 9: Offenses and the Rule of Law</w:t>
      </w:r>
    </w:p>
    <w:p w:rsidR="00EC6D21" w:rsidRPr="00435066" w:rsidRDefault="00EC6D21" w:rsidP="00EC6D21">
      <w:pPr>
        <w:pStyle w:val="style13"/>
        <w:numPr>
          <w:ilvl w:val="0"/>
          <w:numId w:val="12"/>
        </w:numPr>
        <w:spacing w:before="0" w:beforeAutospacing="0" w:after="0" w:afterAutospacing="0"/>
        <w:rPr>
          <w:rFonts w:asciiTheme="minorHAnsi" w:hAnsiTheme="minorHAnsi" w:cstheme="minorHAnsi"/>
          <w:sz w:val="22"/>
          <w:szCs w:val="22"/>
        </w:rPr>
      </w:pPr>
      <w:proofErr w:type="spellStart"/>
      <w:r w:rsidRPr="00435066">
        <w:rPr>
          <w:rFonts w:asciiTheme="minorHAnsi" w:hAnsiTheme="minorHAnsi" w:cstheme="minorHAnsi"/>
          <w:sz w:val="22"/>
          <w:szCs w:val="22"/>
        </w:rPr>
        <w:t>Hallaq</w:t>
      </w:r>
      <w:proofErr w:type="spellEnd"/>
      <w:r w:rsidRPr="00435066">
        <w:rPr>
          <w:rFonts w:asciiTheme="minorHAnsi" w:hAnsiTheme="minorHAnsi" w:cstheme="minorHAnsi"/>
          <w:sz w:val="22"/>
          <w:szCs w:val="22"/>
        </w:rPr>
        <w:t>, Chapter 10 – Offenses</w:t>
      </w:r>
    </w:p>
    <w:p w:rsidR="00EC6D21" w:rsidRPr="00435066" w:rsidRDefault="00EC6D21" w:rsidP="00EC6D21">
      <w:pPr>
        <w:pStyle w:val="style13"/>
        <w:numPr>
          <w:ilvl w:val="0"/>
          <w:numId w:val="12"/>
        </w:numPr>
        <w:spacing w:before="0" w:beforeAutospacing="0" w:after="0" w:afterAutospacing="0"/>
        <w:rPr>
          <w:rFonts w:asciiTheme="minorHAnsi" w:hAnsiTheme="minorHAnsi" w:cstheme="minorHAnsi"/>
          <w:sz w:val="22"/>
          <w:szCs w:val="22"/>
        </w:rPr>
      </w:pPr>
      <w:proofErr w:type="spellStart"/>
      <w:r w:rsidRPr="00435066">
        <w:rPr>
          <w:rFonts w:asciiTheme="minorHAnsi" w:hAnsiTheme="minorHAnsi" w:cstheme="minorHAnsi"/>
          <w:sz w:val="22"/>
          <w:szCs w:val="22"/>
        </w:rPr>
        <w:t>Kamali</w:t>
      </w:r>
      <w:proofErr w:type="spellEnd"/>
      <w:r w:rsidRPr="00435066">
        <w:rPr>
          <w:rFonts w:asciiTheme="minorHAnsi" w:hAnsiTheme="minorHAnsi" w:cstheme="minorHAnsi"/>
          <w:sz w:val="22"/>
          <w:szCs w:val="22"/>
        </w:rPr>
        <w:t xml:space="preserve">, Chapter 9 – </w:t>
      </w:r>
      <w:proofErr w:type="spellStart"/>
      <w:r w:rsidRPr="00435066">
        <w:rPr>
          <w:rFonts w:asciiTheme="minorHAnsi" w:hAnsiTheme="minorHAnsi" w:cstheme="minorHAnsi"/>
          <w:sz w:val="22"/>
          <w:szCs w:val="22"/>
        </w:rPr>
        <w:t>Sharīʿah</w:t>
      </w:r>
      <w:proofErr w:type="spellEnd"/>
      <w:r w:rsidRPr="00435066">
        <w:rPr>
          <w:rFonts w:asciiTheme="minorHAnsi" w:hAnsiTheme="minorHAnsi" w:cstheme="minorHAnsi"/>
          <w:sz w:val="22"/>
          <w:szCs w:val="22"/>
        </w:rPr>
        <w:t xml:space="preserve"> and the Principle of Legality</w:t>
      </w:r>
    </w:p>
    <w:p w:rsidR="00EC6D21" w:rsidRPr="00435066" w:rsidRDefault="00EC6D21" w:rsidP="00EC6D21">
      <w:pPr>
        <w:pStyle w:val="style13"/>
        <w:numPr>
          <w:ilvl w:val="0"/>
          <w:numId w:val="12"/>
        </w:numPr>
        <w:spacing w:before="0" w:beforeAutospacing="0" w:after="0" w:afterAutospacing="0"/>
        <w:rPr>
          <w:rFonts w:asciiTheme="minorHAnsi" w:hAnsiTheme="minorHAnsi" w:cstheme="minorHAnsi"/>
          <w:sz w:val="22"/>
          <w:szCs w:val="22"/>
        </w:rPr>
      </w:pPr>
      <w:r w:rsidRPr="00435066">
        <w:rPr>
          <w:rFonts w:asciiTheme="minorHAnsi" w:hAnsiTheme="minorHAnsi" w:cstheme="minorHAnsi"/>
          <w:sz w:val="22"/>
          <w:szCs w:val="22"/>
          <w:u w:val="single"/>
        </w:rPr>
        <w:t>Further reading:</w:t>
      </w:r>
      <w:r w:rsidRPr="00435066">
        <w:rPr>
          <w:rFonts w:asciiTheme="minorHAnsi" w:hAnsiTheme="minorHAnsi" w:cstheme="minorHAnsi"/>
          <w:sz w:val="22"/>
          <w:szCs w:val="22"/>
        </w:rPr>
        <w:t xml:space="preserve"> Irene Schneider, “Imprisonment in Pre-Classical and Classical Islamic Law,” </w:t>
      </w:r>
      <w:r w:rsidRPr="00435066">
        <w:rPr>
          <w:rFonts w:asciiTheme="minorHAnsi" w:hAnsiTheme="minorHAnsi" w:cstheme="minorHAnsi"/>
          <w:i/>
          <w:sz w:val="22"/>
          <w:szCs w:val="22"/>
        </w:rPr>
        <w:t>Islamic Law and Society</w:t>
      </w:r>
      <w:r w:rsidRPr="00435066">
        <w:rPr>
          <w:rFonts w:asciiTheme="minorHAnsi" w:hAnsiTheme="minorHAnsi" w:cstheme="minorHAnsi"/>
          <w:sz w:val="22"/>
          <w:szCs w:val="22"/>
        </w:rPr>
        <w:t xml:space="preserve"> 2/2 (1995): 157-173.</w:t>
      </w:r>
    </w:p>
    <w:p w:rsidR="00EC6D21" w:rsidRPr="00435066" w:rsidRDefault="00EC6D21" w:rsidP="00EC6D21">
      <w:pPr>
        <w:pStyle w:val="style13"/>
        <w:numPr>
          <w:ilvl w:val="0"/>
          <w:numId w:val="12"/>
        </w:numPr>
        <w:spacing w:before="0" w:beforeAutospacing="0" w:after="0" w:afterAutospacing="0"/>
        <w:rPr>
          <w:rFonts w:asciiTheme="minorHAnsi" w:hAnsiTheme="minorHAnsi" w:cstheme="minorHAnsi"/>
          <w:sz w:val="22"/>
          <w:szCs w:val="22"/>
        </w:rPr>
      </w:pPr>
      <w:r w:rsidRPr="00435066">
        <w:rPr>
          <w:rFonts w:asciiTheme="minorHAnsi" w:hAnsiTheme="minorHAnsi" w:cstheme="minorHAnsi"/>
          <w:sz w:val="22"/>
          <w:szCs w:val="22"/>
          <w:u w:val="single"/>
        </w:rPr>
        <w:t>Further reading:</w:t>
      </w:r>
      <w:r w:rsidRPr="00435066">
        <w:rPr>
          <w:rFonts w:asciiTheme="minorHAnsi" w:hAnsiTheme="minorHAnsi" w:cstheme="minorHAnsi"/>
          <w:sz w:val="22"/>
          <w:szCs w:val="22"/>
        </w:rPr>
        <w:t xml:space="preserve"> </w:t>
      </w:r>
      <w:proofErr w:type="spellStart"/>
      <w:r w:rsidRPr="00435066">
        <w:rPr>
          <w:rFonts w:asciiTheme="minorHAnsi" w:hAnsiTheme="minorHAnsi" w:cstheme="minorHAnsi"/>
          <w:sz w:val="22"/>
          <w:szCs w:val="22"/>
        </w:rPr>
        <w:t>Sadiq</w:t>
      </w:r>
      <w:proofErr w:type="spellEnd"/>
      <w:r w:rsidRPr="00435066">
        <w:rPr>
          <w:rFonts w:asciiTheme="minorHAnsi" w:hAnsiTheme="minorHAnsi" w:cstheme="minorHAnsi"/>
          <w:sz w:val="22"/>
          <w:szCs w:val="22"/>
        </w:rPr>
        <w:t xml:space="preserve"> Reza, “Torture and Islamic Law,” in </w:t>
      </w:r>
      <w:r w:rsidRPr="00435066">
        <w:rPr>
          <w:rFonts w:asciiTheme="minorHAnsi" w:hAnsiTheme="minorHAnsi" w:cstheme="minorHAnsi"/>
          <w:i/>
          <w:iCs/>
          <w:sz w:val="22"/>
          <w:szCs w:val="22"/>
        </w:rPr>
        <w:t xml:space="preserve">Chicago Journal of International Law, </w:t>
      </w:r>
      <w:r w:rsidRPr="00435066">
        <w:rPr>
          <w:rFonts w:asciiTheme="minorHAnsi" w:hAnsiTheme="minorHAnsi" w:cstheme="minorHAnsi"/>
          <w:sz w:val="22"/>
          <w:szCs w:val="22"/>
        </w:rPr>
        <w:t xml:space="preserve">Vol. 8, No. 1 (Summer 2007): 21-41. </w:t>
      </w:r>
    </w:p>
    <w:p w:rsidR="00EC6D21" w:rsidRPr="00435066" w:rsidRDefault="00EC6D21" w:rsidP="00EC6D21">
      <w:pPr>
        <w:ind w:right="-180"/>
        <w:rPr>
          <w:rFonts w:cstheme="minorHAnsi"/>
        </w:rPr>
      </w:pPr>
    </w:p>
    <w:p w:rsidR="00EC6D21" w:rsidRPr="00435066" w:rsidRDefault="00EC6D21" w:rsidP="00EC6D21">
      <w:pPr>
        <w:ind w:right="-180"/>
        <w:rPr>
          <w:rFonts w:cstheme="minorHAnsi"/>
          <w:b/>
          <w:bCs/>
        </w:rPr>
      </w:pPr>
      <w:r w:rsidRPr="00435066">
        <w:rPr>
          <w:rFonts w:cstheme="minorHAnsi"/>
          <w:b/>
          <w:bCs/>
        </w:rPr>
        <w:t>March 16: Courts of Justice, Suits and Evidence</w:t>
      </w:r>
    </w:p>
    <w:p w:rsidR="00EC6D21" w:rsidRPr="00435066" w:rsidRDefault="00EC6D21" w:rsidP="00EC6D21">
      <w:pPr>
        <w:pStyle w:val="ListParagraph"/>
        <w:numPr>
          <w:ilvl w:val="0"/>
          <w:numId w:val="12"/>
        </w:numPr>
        <w:ind w:right="-180"/>
        <w:rPr>
          <w:rFonts w:asciiTheme="minorHAnsi" w:hAnsiTheme="minorHAnsi" w:cstheme="minorHAnsi"/>
          <w:sz w:val="22"/>
          <w:szCs w:val="22"/>
        </w:rPr>
      </w:pPr>
      <w:proofErr w:type="spellStart"/>
      <w:r w:rsidRPr="00435066">
        <w:rPr>
          <w:rFonts w:asciiTheme="minorHAnsi" w:hAnsiTheme="minorHAnsi" w:cstheme="minorHAnsi"/>
          <w:sz w:val="22"/>
          <w:szCs w:val="22"/>
        </w:rPr>
        <w:lastRenderedPageBreak/>
        <w:t>Hallaq</w:t>
      </w:r>
      <w:proofErr w:type="spellEnd"/>
      <w:r w:rsidRPr="00435066">
        <w:rPr>
          <w:rFonts w:asciiTheme="minorHAnsi" w:hAnsiTheme="minorHAnsi" w:cstheme="minorHAnsi"/>
          <w:sz w:val="22"/>
          <w:szCs w:val="22"/>
        </w:rPr>
        <w:t>, Chapter 12</w:t>
      </w:r>
    </w:p>
    <w:p w:rsidR="00EC6D21" w:rsidRPr="00435066" w:rsidRDefault="00EC6D21" w:rsidP="00EC6D21">
      <w:pPr>
        <w:pStyle w:val="ListParagraph"/>
        <w:numPr>
          <w:ilvl w:val="0"/>
          <w:numId w:val="12"/>
        </w:numPr>
        <w:ind w:right="-180"/>
        <w:rPr>
          <w:rFonts w:asciiTheme="minorHAnsi" w:hAnsiTheme="minorHAnsi" w:cstheme="minorHAnsi"/>
          <w:sz w:val="22"/>
          <w:szCs w:val="22"/>
        </w:rPr>
      </w:pPr>
      <w:r w:rsidRPr="00435066">
        <w:rPr>
          <w:rFonts w:asciiTheme="minorHAnsi" w:hAnsiTheme="minorHAnsi" w:cstheme="minorHAnsi"/>
          <w:sz w:val="22"/>
          <w:szCs w:val="22"/>
        </w:rPr>
        <w:t xml:space="preserve">Excerpt from </w:t>
      </w:r>
      <w:proofErr w:type="spellStart"/>
      <w:r w:rsidRPr="00435066">
        <w:rPr>
          <w:rFonts w:asciiTheme="minorHAnsi" w:hAnsiTheme="minorHAnsi" w:cstheme="minorHAnsi"/>
          <w:i/>
          <w:iCs/>
          <w:color w:val="00B050"/>
          <w:sz w:val="22"/>
          <w:szCs w:val="22"/>
        </w:rPr>
        <w:t>Adab</w:t>
      </w:r>
      <w:proofErr w:type="spellEnd"/>
      <w:r w:rsidRPr="00435066">
        <w:rPr>
          <w:rFonts w:asciiTheme="minorHAnsi" w:hAnsiTheme="minorHAnsi" w:cstheme="minorHAnsi"/>
          <w:i/>
          <w:iCs/>
          <w:color w:val="00B050"/>
          <w:sz w:val="22"/>
          <w:szCs w:val="22"/>
        </w:rPr>
        <w:t xml:space="preserve"> al-</w:t>
      </w:r>
      <w:proofErr w:type="spellStart"/>
      <w:r w:rsidRPr="00435066">
        <w:rPr>
          <w:rFonts w:asciiTheme="minorHAnsi" w:hAnsiTheme="minorHAnsi" w:cstheme="minorHAnsi"/>
          <w:i/>
          <w:iCs/>
          <w:color w:val="00B050"/>
          <w:sz w:val="22"/>
          <w:szCs w:val="22"/>
        </w:rPr>
        <w:t>Qadi</w:t>
      </w:r>
      <w:proofErr w:type="spellEnd"/>
    </w:p>
    <w:p w:rsidR="00EC6D21" w:rsidRPr="00435066" w:rsidRDefault="00EC6D21" w:rsidP="00EC6D21">
      <w:pPr>
        <w:pStyle w:val="ListParagraph"/>
        <w:numPr>
          <w:ilvl w:val="0"/>
          <w:numId w:val="12"/>
        </w:numPr>
        <w:ind w:right="-180"/>
        <w:rPr>
          <w:rFonts w:asciiTheme="minorHAnsi" w:hAnsiTheme="minorHAnsi" w:cstheme="minorHAnsi"/>
          <w:sz w:val="22"/>
          <w:szCs w:val="22"/>
        </w:rPr>
      </w:pPr>
      <w:r w:rsidRPr="00435066">
        <w:rPr>
          <w:rFonts w:asciiTheme="minorHAnsi" w:hAnsiTheme="minorHAnsi" w:cstheme="minorHAnsi"/>
          <w:sz w:val="22"/>
          <w:szCs w:val="22"/>
        </w:rPr>
        <w:t>Watch: Documentary film, “The Judge”</w:t>
      </w:r>
    </w:p>
    <w:p w:rsidR="00EC6D21" w:rsidRPr="00435066" w:rsidRDefault="00EC6D21" w:rsidP="00EC6D21">
      <w:pPr>
        <w:pStyle w:val="ListParagraph"/>
        <w:numPr>
          <w:ilvl w:val="0"/>
          <w:numId w:val="12"/>
        </w:numPr>
        <w:ind w:right="-180"/>
        <w:rPr>
          <w:rFonts w:asciiTheme="minorHAnsi" w:hAnsiTheme="minorHAnsi" w:cstheme="minorHAnsi"/>
          <w:sz w:val="22"/>
          <w:szCs w:val="22"/>
        </w:rPr>
      </w:pPr>
      <w:r w:rsidRPr="00435066">
        <w:rPr>
          <w:rFonts w:asciiTheme="minorHAnsi" w:hAnsiTheme="minorHAnsi" w:cstheme="minorHAnsi"/>
          <w:sz w:val="22"/>
          <w:szCs w:val="22"/>
        </w:rPr>
        <w:t>Watch: Excerpt from documentary film, “Divorce, Iranian Style”</w:t>
      </w:r>
    </w:p>
    <w:p w:rsidR="00EC6D21" w:rsidRPr="00435066" w:rsidRDefault="00EC6D21" w:rsidP="00EC6D21">
      <w:pPr>
        <w:ind w:right="-180"/>
        <w:rPr>
          <w:rFonts w:cstheme="minorHAnsi"/>
        </w:rPr>
      </w:pPr>
    </w:p>
    <w:p w:rsidR="00EC6D21" w:rsidRPr="00435066" w:rsidRDefault="00EC6D21" w:rsidP="00EC6D21">
      <w:pPr>
        <w:ind w:right="-180"/>
        <w:rPr>
          <w:rFonts w:cstheme="minorHAnsi"/>
          <w:b/>
          <w:bCs/>
        </w:rPr>
      </w:pPr>
      <w:r w:rsidRPr="00435066">
        <w:rPr>
          <w:rFonts w:cstheme="minorHAnsi"/>
          <w:b/>
          <w:bCs/>
        </w:rPr>
        <w:t>March 23: Modernity</w:t>
      </w:r>
    </w:p>
    <w:p w:rsidR="00EC6D21" w:rsidRPr="00435066" w:rsidRDefault="00EC6D21" w:rsidP="00EC6D21">
      <w:pPr>
        <w:pStyle w:val="ListParagraph"/>
        <w:numPr>
          <w:ilvl w:val="0"/>
          <w:numId w:val="12"/>
        </w:numPr>
        <w:ind w:right="-180"/>
        <w:rPr>
          <w:rFonts w:asciiTheme="minorHAnsi" w:hAnsiTheme="minorHAnsi" w:cstheme="minorHAnsi"/>
          <w:sz w:val="22"/>
          <w:szCs w:val="22"/>
        </w:rPr>
      </w:pPr>
      <w:proofErr w:type="spellStart"/>
      <w:r w:rsidRPr="00435066">
        <w:rPr>
          <w:rFonts w:asciiTheme="minorHAnsi" w:hAnsiTheme="minorHAnsi" w:cstheme="minorHAnsi"/>
          <w:sz w:val="22"/>
          <w:szCs w:val="22"/>
        </w:rPr>
        <w:t>Hallaq</w:t>
      </w:r>
      <w:proofErr w:type="spellEnd"/>
      <w:r w:rsidRPr="00435066">
        <w:rPr>
          <w:rFonts w:asciiTheme="minorHAnsi" w:hAnsiTheme="minorHAnsi" w:cstheme="minorHAnsi"/>
          <w:sz w:val="22"/>
          <w:szCs w:val="22"/>
        </w:rPr>
        <w:t>, Chapters 15 &amp; 16</w:t>
      </w:r>
    </w:p>
    <w:p w:rsidR="00EC6D21" w:rsidRPr="00435066" w:rsidRDefault="00EC6D21" w:rsidP="00EC6D21">
      <w:pPr>
        <w:pStyle w:val="ListParagraph"/>
        <w:numPr>
          <w:ilvl w:val="0"/>
          <w:numId w:val="12"/>
        </w:numPr>
        <w:rPr>
          <w:rFonts w:asciiTheme="minorHAnsi" w:hAnsiTheme="minorHAnsi" w:cstheme="minorHAnsi"/>
          <w:sz w:val="22"/>
          <w:szCs w:val="22"/>
        </w:rPr>
      </w:pPr>
      <w:r w:rsidRPr="00435066">
        <w:rPr>
          <w:rFonts w:asciiTheme="minorHAnsi" w:hAnsiTheme="minorHAnsi" w:cstheme="minorHAnsi"/>
          <w:sz w:val="22"/>
          <w:szCs w:val="22"/>
          <w:u w:val="single"/>
        </w:rPr>
        <w:t xml:space="preserve">Further reading: </w:t>
      </w:r>
      <w:proofErr w:type="spellStart"/>
      <w:r w:rsidRPr="00435066">
        <w:rPr>
          <w:rFonts w:asciiTheme="minorHAnsi" w:hAnsiTheme="minorHAnsi" w:cstheme="minorHAnsi"/>
          <w:sz w:val="22"/>
          <w:szCs w:val="22"/>
        </w:rPr>
        <w:t>Muneer</w:t>
      </w:r>
      <w:proofErr w:type="spellEnd"/>
      <w:r w:rsidRPr="00435066">
        <w:rPr>
          <w:rFonts w:asciiTheme="minorHAnsi" w:hAnsiTheme="minorHAnsi" w:cstheme="minorHAnsi"/>
          <w:sz w:val="22"/>
          <w:szCs w:val="22"/>
        </w:rPr>
        <w:t xml:space="preserve"> Fareed, “Against </w:t>
      </w:r>
      <w:proofErr w:type="spellStart"/>
      <w:r w:rsidRPr="00435066">
        <w:rPr>
          <w:rFonts w:asciiTheme="minorHAnsi" w:hAnsiTheme="minorHAnsi" w:cstheme="minorHAnsi"/>
          <w:sz w:val="22"/>
          <w:szCs w:val="22"/>
        </w:rPr>
        <w:t>Ijtihād</w:t>
      </w:r>
      <w:proofErr w:type="spellEnd"/>
      <w:r w:rsidRPr="00435066">
        <w:rPr>
          <w:rFonts w:asciiTheme="minorHAnsi" w:hAnsiTheme="minorHAnsi" w:cstheme="minorHAnsi"/>
          <w:sz w:val="22"/>
          <w:szCs w:val="22"/>
        </w:rPr>
        <w:t xml:space="preserve">,” in </w:t>
      </w:r>
      <w:r w:rsidRPr="00435066">
        <w:rPr>
          <w:rFonts w:asciiTheme="minorHAnsi" w:hAnsiTheme="minorHAnsi" w:cstheme="minorHAnsi"/>
          <w:i/>
          <w:iCs/>
          <w:sz w:val="22"/>
          <w:szCs w:val="22"/>
        </w:rPr>
        <w:t xml:space="preserve">The Muslim World, </w:t>
      </w:r>
      <w:r w:rsidRPr="00435066">
        <w:rPr>
          <w:rFonts w:asciiTheme="minorHAnsi" w:hAnsiTheme="minorHAnsi" w:cstheme="minorHAnsi"/>
          <w:sz w:val="22"/>
          <w:szCs w:val="22"/>
        </w:rPr>
        <w:t xml:space="preserve">Vol. 91 (Fall 2001): 355 - 370. </w:t>
      </w:r>
    </w:p>
    <w:p w:rsidR="00EC6D21" w:rsidRPr="00435066" w:rsidRDefault="00EC6D21" w:rsidP="00EC6D21">
      <w:pPr>
        <w:pStyle w:val="ListParagraph"/>
        <w:numPr>
          <w:ilvl w:val="0"/>
          <w:numId w:val="12"/>
        </w:numPr>
        <w:rPr>
          <w:rStyle w:val="Hyperlink"/>
          <w:rFonts w:asciiTheme="minorHAnsi" w:hAnsiTheme="minorHAnsi" w:cstheme="minorHAnsi"/>
          <w:color w:val="auto"/>
          <w:sz w:val="22"/>
          <w:szCs w:val="22"/>
          <w:u w:val="none"/>
        </w:rPr>
      </w:pPr>
      <w:r w:rsidRPr="00435066">
        <w:rPr>
          <w:rFonts w:asciiTheme="minorHAnsi" w:hAnsiTheme="minorHAnsi" w:cstheme="minorHAnsi"/>
          <w:sz w:val="22"/>
          <w:szCs w:val="22"/>
          <w:u w:val="single"/>
        </w:rPr>
        <w:t>Further reading:</w:t>
      </w:r>
      <w:r w:rsidRPr="00435066">
        <w:rPr>
          <w:rFonts w:asciiTheme="minorHAnsi" w:hAnsiTheme="minorHAnsi" w:cstheme="minorHAnsi"/>
          <w:sz w:val="22"/>
          <w:szCs w:val="22"/>
        </w:rPr>
        <w:t xml:space="preserve"> </w:t>
      </w:r>
      <w:proofErr w:type="spellStart"/>
      <w:r w:rsidRPr="00435066">
        <w:rPr>
          <w:rFonts w:asciiTheme="minorHAnsi" w:hAnsiTheme="minorHAnsi" w:cstheme="minorHAnsi"/>
          <w:sz w:val="22"/>
          <w:szCs w:val="22"/>
        </w:rPr>
        <w:t>Aharon</w:t>
      </w:r>
      <w:proofErr w:type="spellEnd"/>
      <w:r w:rsidRPr="00435066">
        <w:rPr>
          <w:rFonts w:asciiTheme="minorHAnsi" w:hAnsiTheme="minorHAnsi" w:cstheme="minorHAnsi"/>
          <w:sz w:val="22"/>
          <w:szCs w:val="22"/>
        </w:rPr>
        <w:t xml:space="preserve"> </w:t>
      </w:r>
      <w:proofErr w:type="spellStart"/>
      <w:r w:rsidRPr="00435066">
        <w:rPr>
          <w:rFonts w:asciiTheme="minorHAnsi" w:hAnsiTheme="minorHAnsi" w:cstheme="minorHAnsi"/>
          <w:sz w:val="22"/>
          <w:szCs w:val="22"/>
        </w:rPr>
        <w:t>Layish</w:t>
      </w:r>
      <w:proofErr w:type="spellEnd"/>
      <w:r w:rsidRPr="00435066">
        <w:rPr>
          <w:rFonts w:asciiTheme="minorHAnsi" w:hAnsiTheme="minorHAnsi" w:cstheme="minorHAnsi"/>
          <w:sz w:val="22"/>
          <w:szCs w:val="22"/>
        </w:rPr>
        <w:t xml:space="preserve">, "Islamic Law in the Modern World: Nationalization, Islamization, Reinstatement, </w:t>
      </w:r>
      <w:r w:rsidRPr="00435066">
        <w:rPr>
          <w:rStyle w:val="Emphasis"/>
          <w:rFonts w:asciiTheme="minorHAnsi" w:hAnsiTheme="minorHAnsi" w:cstheme="minorHAnsi"/>
          <w:sz w:val="22"/>
          <w:szCs w:val="22"/>
        </w:rPr>
        <w:t>Islamic Law and Society</w:t>
      </w:r>
      <w:r w:rsidRPr="00435066">
        <w:rPr>
          <w:rFonts w:asciiTheme="minorHAnsi" w:hAnsiTheme="minorHAnsi" w:cstheme="minorHAnsi"/>
          <w:sz w:val="22"/>
          <w:szCs w:val="22"/>
        </w:rPr>
        <w:t xml:space="preserve"> 21, 3: 276-307. </w:t>
      </w:r>
    </w:p>
    <w:p w:rsidR="00EC6D21" w:rsidRPr="00435066" w:rsidRDefault="00EC6D21" w:rsidP="00EC6D21">
      <w:pPr>
        <w:ind w:right="-180"/>
        <w:rPr>
          <w:rFonts w:cstheme="minorHAnsi"/>
        </w:rPr>
      </w:pPr>
    </w:p>
    <w:p w:rsidR="00EC6D21" w:rsidRPr="00435066" w:rsidRDefault="00EC6D21" w:rsidP="00EC6D21">
      <w:pPr>
        <w:ind w:right="-180"/>
        <w:rPr>
          <w:rFonts w:cstheme="minorHAnsi"/>
          <w:b/>
          <w:bCs/>
        </w:rPr>
      </w:pPr>
      <w:r w:rsidRPr="00435066">
        <w:rPr>
          <w:rFonts w:cstheme="minorHAnsi"/>
          <w:b/>
          <w:bCs/>
        </w:rPr>
        <w:t>March 30: Constitutionality, Human Rights and Theory</w:t>
      </w:r>
    </w:p>
    <w:p w:rsidR="00EC6D21" w:rsidRPr="00435066" w:rsidRDefault="00EC6D21" w:rsidP="00EC6D21">
      <w:pPr>
        <w:pStyle w:val="ListParagraph"/>
        <w:numPr>
          <w:ilvl w:val="0"/>
          <w:numId w:val="12"/>
        </w:numPr>
        <w:ind w:right="-180"/>
        <w:rPr>
          <w:rFonts w:asciiTheme="minorHAnsi" w:hAnsiTheme="minorHAnsi" w:cstheme="minorHAnsi"/>
          <w:sz w:val="22"/>
          <w:szCs w:val="22"/>
        </w:rPr>
      </w:pPr>
      <w:proofErr w:type="spellStart"/>
      <w:r w:rsidRPr="00435066">
        <w:rPr>
          <w:rFonts w:asciiTheme="minorHAnsi" w:hAnsiTheme="minorHAnsi" w:cstheme="minorHAnsi"/>
          <w:sz w:val="22"/>
          <w:szCs w:val="22"/>
        </w:rPr>
        <w:t>Asifa</w:t>
      </w:r>
      <w:proofErr w:type="spellEnd"/>
      <w:r w:rsidRPr="00435066">
        <w:rPr>
          <w:rFonts w:asciiTheme="minorHAnsi" w:hAnsiTheme="minorHAnsi" w:cstheme="minorHAnsi"/>
          <w:sz w:val="22"/>
          <w:szCs w:val="22"/>
        </w:rPr>
        <w:t xml:space="preserve"> </w:t>
      </w:r>
      <w:proofErr w:type="spellStart"/>
      <w:r w:rsidRPr="00435066">
        <w:rPr>
          <w:rFonts w:asciiTheme="minorHAnsi" w:hAnsiTheme="minorHAnsi" w:cstheme="minorHAnsi"/>
          <w:sz w:val="22"/>
          <w:szCs w:val="22"/>
        </w:rPr>
        <w:t>Quraishi-Landes</w:t>
      </w:r>
      <w:proofErr w:type="spellEnd"/>
      <w:r w:rsidRPr="00435066">
        <w:rPr>
          <w:rFonts w:asciiTheme="minorHAnsi" w:hAnsiTheme="minorHAnsi" w:cstheme="minorHAnsi"/>
          <w:sz w:val="22"/>
          <w:szCs w:val="22"/>
        </w:rPr>
        <w:t>, “Legislating Morality and Other Illusions about Islamic Government,” chapter in,</w:t>
      </w:r>
      <w:r w:rsidRPr="00435066">
        <w:rPr>
          <w:rFonts w:asciiTheme="minorHAnsi" w:hAnsiTheme="minorHAnsi" w:cstheme="minorHAnsi"/>
          <w:b/>
          <w:bCs/>
          <w:color w:val="000000"/>
          <w:sz w:val="22"/>
          <w:szCs w:val="22"/>
          <w:shd w:val="clear" w:color="auto" w:fill="FFFFFF"/>
        </w:rPr>
        <w:t xml:space="preserve"> </w:t>
      </w:r>
      <w:r w:rsidRPr="00435066">
        <w:rPr>
          <w:rFonts w:asciiTheme="minorHAnsi" w:hAnsiTheme="minorHAnsi" w:cstheme="minorHAnsi"/>
          <w:i/>
          <w:iCs/>
          <w:color w:val="000000"/>
          <w:sz w:val="22"/>
          <w:szCs w:val="22"/>
          <w:shd w:val="clear" w:color="auto" w:fill="FFFFFF"/>
        </w:rPr>
        <w:t xml:space="preserve">Locating the </w:t>
      </w:r>
      <w:proofErr w:type="spellStart"/>
      <w:r w:rsidRPr="00435066">
        <w:rPr>
          <w:rFonts w:asciiTheme="minorHAnsi" w:hAnsiTheme="minorHAnsi" w:cstheme="minorHAnsi"/>
          <w:i/>
          <w:iCs/>
          <w:color w:val="000000"/>
          <w:sz w:val="22"/>
          <w:szCs w:val="22"/>
          <w:shd w:val="clear" w:color="auto" w:fill="FFFFFF"/>
        </w:rPr>
        <w:t>Sharīʿa</w:t>
      </w:r>
      <w:proofErr w:type="spellEnd"/>
      <w:r w:rsidRPr="00435066">
        <w:rPr>
          <w:rFonts w:asciiTheme="minorHAnsi" w:hAnsiTheme="minorHAnsi" w:cstheme="minorHAnsi"/>
          <w:color w:val="000000"/>
          <w:sz w:val="22"/>
          <w:szCs w:val="22"/>
          <w:shd w:val="clear" w:color="auto" w:fill="FFFFFF"/>
        </w:rPr>
        <w:t xml:space="preserve">, Ed. </w:t>
      </w:r>
      <w:proofErr w:type="spellStart"/>
      <w:r w:rsidRPr="00435066">
        <w:rPr>
          <w:rFonts w:asciiTheme="minorHAnsi" w:hAnsiTheme="minorHAnsi" w:cstheme="minorHAnsi"/>
          <w:color w:val="000000"/>
          <w:sz w:val="22"/>
          <w:szCs w:val="22"/>
          <w:shd w:val="clear" w:color="auto" w:fill="FFFFFF"/>
        </w:rPr>
        <w:t>Sohaira</w:t>
      </w:r>
      <w:proofErr w:type="spellEnd"/>
      <w:r w:rsidRPr="00435066">
        <w:rPr>
          <w:rFonts w:asciiTheme="minorHAnsi" w:hAnsiTheme="minorHAnsi" w:cstheme="minorHAnsi"/>
          <w:color w:val="000000"/>
          <w:sz w:val="22"/>
          <w:szCs w:val="22"/>
          <w:shd w:val="clear" w:color="auto" w:fill="FFFFFF"/>
        </w:rPr>
        <w:t xml:space="preserve"> Siddiqui (Leiden, The Netherlands: Brill, 04 Feb. 2018), 176-204.</w:t>
      </w:r>
      <w:r w:rsidRPr="00435066">
        <w:rPr>
          <w:rFonts w:asciiTheme="minorHAnsi" w:hAnsiTheme="minorHAnsi" w:cstheme="minorHAnsi"/>
          <w:b/>
          <w:bCs/>
          <w:color w:val="000000"/>
          <w:sz w:val="22"/>
          <w:szCs w:val="22"/>
          <w:shd w:val="clear" w:color="auto" w:fill="FFFFFF"/>
        </w:rPr>
        <w:t xml:space="preserve"> </w:t>
      </w:r>
    </w:p>
    <w:p w:rsidR="00EC6D21" w:rsidRPr="00435066" w:rsidRDefault="00EC6D21" w:rsidP="00EC6D21">
      <w:pPr>
        <w:pStyle w:val="ListParagraph"/>
        <w:numPr>
          <w:ilvl w:val="0"/>
          <w:numId w:val="12"/>
        </w:numPr>
        <w:ind w:right="-180"/>
        <w:rPr>
          <w:rFonts w:asciiTheme="minorHAnsi" w:hAnsiTheme="minorHAnsi" w:cstheme="minorHAnsi"/>
          <w:sz w:val="22"/>
          <w:szCs w:val="22"/>
        </w:rPr>
      </w:pPr>
      <w:r w:rsidRPr="00435066">
        <w:rPr>
          <w:rFonts w:asciiTheme="minorHAnsi" w:hAnsiTheme="minorHAnsi" w:cstheme="minorHAnsi"/>
          <w:sz w:val="22"/>
          <w:szCs w:val="22"/>
        </w:rPr>
        <w:t xml:space="preserve">Mohammad </w:t>
      </w:r>
      <w:proofErr w:type="spellStart"/>
      <w:r w:rsidRPr="00435066">
        <w:rPr>
          <w:rFonts w:asciiTheme="minorHAnsi" w:hAnsiTheme="minorHAnsi" w:cstheme="minorHAnsi"/>
          <w:sz w:val="22"/>
          <w:szCs w:val="22"/>
        </w:rPr>
        <w:t>Fadel</w:t>
      </w:r>
      <w:proofErr w:type="spellEnd"/>
      <w:r w:rsidRPr="00435066">
        <w:rPr>
          <w:rFonts w:asciiTheme="minorHAnsi" w:hAnsiTheme="minorHAnsi" w:cstheme="minorHAnsi"/>
          <w:sz w:val="22"/>
          <w:szCs w:val="22"/>
        </w:rPr>
        <w:t xml:space="preserve">, “Muslim Reformists, Female Citizenship and the Public Accommodation of Islam in Liberal Democracy,” in </w:t>
      </w:r>
      <w:r w:rsidRPr="00435066">
        <w:rPr>
          <w:rFonts w:asciiTheme="minorHAnsi" w:hAnsiTheme="minorHAnsi" w:cstheme="minorHAnsi"/>
          <w:i/>
          <w:iCs/>
          <w:sz w:val="22"/>
          <w:szCs w:val="22"/>
        </w:rPr>
        <w:t xml:space="preserve">Politics and Religion, </w:t>
      </w:r>
      <w:r w:rsidRPr="00435066">
        <w:rPr>
          <w:rFonts w:asciiTheme="minorHAnsi" w:hAnsiTheme="minorHAnsi" w:cstheme="minorHAnsi"/>
          <w:sz w:val="22"/>
          <w:szCs w:val="22"/>
        </w:rPr>
        <w:t xml:space="preserve">5 (2012), 2-35. </w:t>
      </w:r>
    </w:p>
    <w:p w:rsidR="00EC6D21" w:rsidRPr="00435066" w:rsidRDefault="00EC6D21" w:rsidP="00EC6D21">
      <w:pPr>
        <w:pStyle w:val="ListParagraph"/>
        <w:numPr>
          <w:ilvl w:val="0"/>
          <w:numId w:val="12"/>
        </w:numPr>
        <w:ind w:right="-180"/>
        <w:rPr>
          <w:rFonts w:asciiTheme="minorHAnsi" w:hAnsiTheme="minorHAnsi" w:cstheme="minorHAnsi"/>
          <w:sz w:val="22"/>
          <w:szCs w:val="22"/>
        </w:rPr>
      </w:pPr>
      <w:r w:rsidRPr="00435066">
        <w:rPr>
          <w:rFonts w:asciiTheme="minorHAnsi" w:hAnsiTheme="minorHAnsi" w:cstheme="minorHAnsi"/>
          <w:color w:val="000000"/>
          <w:sz w:val="22"/>
          <w:szCs w:val="22"/>
          <w:u w:val="single"/>
          <w:shd w:val="clear" w:color="auto" w:fill="FFFFFF"/>
        </w:rPr>
        <w:t xml:space="preserve">Further reading: </w:t>
      </w:r>
      <w:proofErr w:type="spellStart"/>
      <w:r w:rsidRPr="00435066">
        <w:rPr>
          <w:rFonts w:asciiTheme="minorHAnsi" w:hAnsiTheme="minorHAnsi" w:cstheme="minorHAnsi"/>
          <w:sz w:val="22"/>
          <w:szCs w:val="22"/>
        </w:rPr>
        <w:t>Hallaq</w:t>
      </w:r>
      <w:proofErr w:type="spellEnd"/>
      <w:r w:rsidRPr="00435066">
        <w:rPr>
          <w:rFonts w:asciiTheme="minorHAnsi" w:hAnsiTheme="minorHAnsi" w:cstheme="minorHAnsi"/>
          <w:sz w:val="22"/>
          <w:szCs w:val="22"/>
        </w:rPr>
        <w:t>, Chapter 17</w:t>
      </w:r>
    </w:p>
    <w:p w:rsidR="00EC6D21" w:rsidRPr="00435066" w:rsidRDefault="00EC6D21" w:rsidP="00EC6D21">
      <w:pPr>
        <w:pStyle w:val="style13"/>
        <w:numPr>
          <w:ilvl w:val="0"/>
          <w:numId w:val="12"/>
        </w:numPr>
        <w:spacing w:before="0" w:beforeAutospacing="0" w:after="0" w:afterAutospacing="0"/>
        <w:rPr>
          <w:rFonts w:asciiTheme="minorHAnsi" w:hAnsiTheme="minorHAnsi" w:cstheme="minorHAnsi"/>
          <w:sz w:val="22"/>
          <w:szCs w:val="22"/>
        </w:rPr>
      </w:pPr>
      <w:r w:rsidRPr="00435066">
        <w:rPr>
          <w:rFonts w:asciiTheme="minorHAnsi" w:hAnsiTheme="minorHAnsi" w:cstheme="minorHAnsi"/>
          <w:sz w:val="22"/>
          <w:szCs w:val="22"/>
          <w:u w:val="single"/>
        </w:rPr>
        <w:t>Further reading:</w:t>
      </w:r>
      <w:r w:rsidRPr="00435066">
        <w:rPr>
          <w:rFonts w:asciiTheme="minorHAnsi" w:hAnsiTheme="minorHAnsi" w:cstheme="minorHAnsi"/>
          <w:sz w:val="22"/>
          <w:szCs w:val="22"/>
        </w:rPr>
        <w:t xml:space="preserve"> Mohammad </w:t>
      </w:r>
      <w:proofErr w:type="spellStart"/>
      <w:r w:rsidRPr="00435066">
        <w:rPr>
          <w:rFonts w:asciiTheme="minorHAnsi" w:hAnsiTheme="minorHAnsi" w:cstheme="minorHAnsi"/>
          <w:sz w:val="22"/>
          <w:szCs w:val="22"/>
        </w:rPr>
        <w:t>Hashim</w:t>
      </w:r>
      <w:proofErr w:type="spellEnd"/>
      <w:r w:rsidRPr="00435066">
        <w:rPr>
          <w:rFonts w:asciiTheme="minorHAnsi" w:hAnsiTheme="minorHAnsi" w:cstheme="minorHAnsi"/>
          <w:sz w:val="22"/>
          <w:szCs w:val="22"/>
        </w:rPr>
        <w:t xml:space="preserve"> </w:t>
      </w:r>
      <w:proofErr w:type="spellStart"/>
      <w:r w:rsidRPr="00435066">
        <w:rPr>
          <w:rFonts w:asciiTheme="minorHAnsi" w:hAnsiTheme="minorHAnsi" w:cstheme="minorHAnsi"/>
          <w:sz w:val="22"/>
          <w:szCs w:val="22"/>
        </w:rPr>
        <w:t>Kamali</w:t>
      </w:r>
      <w:proofErr w:type="spellEnd"/>
      <w:r w:rsidRPr="00435066">
        <w:rPr>
          <w:rFonts w:asciiTheme="minorHAnsi" w:hAnsiTheme="minorHAnsi" w:cstheme="minorHAnsi"/>
          <w:sz w:val="22"/>
          <w:szCs w:val="22"/>
        </w:rPr>
        <w:t xml:space="preserve">, “Punishment in Islamic Law: A Critique of the </w:t>
      </w:r>
      <w:proofErr w:type="spellStart"/>
      <w:r w:rsidRPr="00435066">
        <w:rPr>
          <w:rFonts w:asciiTheme="minorHAnsi" w:hAnsiTheme="minorHAnsi" w:cstheme="minorHAnsi"/>
          <w:sz w:val="22"/>
          <w:szCs w:val="22"/>
        </w:rPr>
        <w:t>Hudud</w:t>
      </w:r>
      <w:proofErr w:type="spellEnd"/>
      <w:r w:rsidRPr="00435066">
        <w:rPr>
          <w:rFonts w:asciiTheme="minorHAnsi" w:hAnsiTheme="minorHAnsi" w:cstheme="minorHAnsi"/>
          <w:sz w:val="22"/>
          <w:szCs w:val="22"/>
        </w:rPr>
        <w:t xml:space="preserve"> Bill of Kelantan, Malaysia,” in </w:t>
      </w:r>
      <w:r w:rsidRPr="00435066">
        <w:rPr>
          <w:rFonts w:asciiTheme="minorHAnsi" w:hAnsiTheme="minorHAnsi" w:cstheme="minorHAnsi"/>
          <w:i/>
          <w:iCs/>
          <w:sz w:val="22"/>
          <w:szCs w:val="22"/>
        </w:rPr>
        <w:t xml:space="preserve">Arab Law Quarterly, </w:t>
      </w:r>
      <w:r w:rsidRPr="00435066">
        <w:rPr>
          <w:rFonts w:asciiTheme="minorHAnsi" w:hAnsiTheme="minorHAnsi" w:cstheme="minorHAnsi"/>
          <w:sz w:val="22"/>
          <w:szCs w:val="22"/>
        </w:rPr>
        <w:t xml:space="preserve">Vol. 13 (1998): 203-234. </w:t>
      </w:r>
    </w:p>
    <w:p w:rsidR="00EC6D21" w:rsidRPr="00435066" w:rsidRDefault="00EC6D21" w:rsidP="00EC6D21">
      <w:pPr>
        <w:ind w:right="-180"/>
        <w:rPr>
          <w:rFonts w:cstheme="minorHAnsi"/>
        </w:rPr>
      </w:pPr>
    </w:p>
    <w:p w:rsidR="00EC6D21" w:rsidRPr="00435066" w:rsidRDefault="00EC6D21" w:rsidP="00EC6D21">
      <w:pPr>
        <w:ind w:right="-180"/>
        <w:rPr>
          <w:rFonts w:cstheme="minorHAnsi"/>
          <w:b/>
          <w:bCs/>
        </w:rPr>
      </w:pPr>
      <w:r w:rsidRPr="00435066">
        <w:rPr>
          <w:rFonts w:cstheme="minorHAnsi"/>
          <w:b/>
          <w:bCs/>
        </w:rPr>
        <w:t>April 6: Self-Governance and the Sacred Law in Contemporary Muslim Communities</w:t>
      </w:r>
    </w:p>
    <w:p w:rsidR="00EC6D21" w:rsidRPr="00435066" w:rsidRDefault="00EC6D21" w:rsidP="00EC6D21">
      <w:pPr>
        <w:pStyle w:val="ListParagraph"/>
        <w:numPr>
          <w:ilvl w:val="0"/>
          <w:numId w:val="12"/>
        </w:numPr>
        <w:ind w:right="-180"/>
        <w:rPr>
          <w:rFonts w:asciiTheme="minorHAnsi" w:hAnsiTheme="minorHAnsi" w:cstheme="minorHAnsi"/>
          <w:sz w:val="22"/>
          <w:szCs w:val="22"/>
        </w:rPr>
      </w:pPr>
      <w:r w:rsidRPr="00435066">
        <w:rPr>
          <w:rFonts w:asciiTheme="minorHAnsi" w:hAnsiTheme="minorHAnsi" w:cstheme="minorHAnsi"/>
          <w:sz w:val="22"/>
          <w:szCs w:val="22"/>
        </w:rPr>
        <w:t xml:space="preserve">Mohammad </w:t>
      </w:r>
      <w:proofErr w:type="spellStart"/>
      <w:r w:rsidRPr="00435066">
        <w:rPr>
          <w:rFonts w:asciiTheme="minorHAnsi" w:hAnsiTheme="minorHAnsi" w:cstheme="minorHAnsi"/>
          <w:sz w:val="22"/>
          <w:szCs w:val="22"/>
        </w:rPr>
        <w:t>Fadel</w:t>
      </w:r>
      <w:proofErr w:type="spellEnd"/>
      <w:r w:rsidRPr="00435066">
        <w:rPr>
          <w:rFonts w:asciiTheme="minorHAnsi" w:hAnsiTheme="minorHAnsi" w:cstheme="minorHAnsi"/>
          <w:sz w:val="22"/>
          <w:szCs w:val="22"/>
        </w:rPr>
        <w:t xml:space="preserve">, “Reinterpreting the Guardian’s Role in the Islamic Contract of Marriage:  the Case of the Maliki School,” </w:t>
      </w:r>
      <w:r w:rsidRPr="00435066">
        <w:rPr>
          <w:rFonts w:asciiTheme="minorHAnsi" w:hAnsiTheme="minorHAnsi" w:cstheme="minorHAnsi"/>
          <w:i/>
          <w:sz w:val="22"/>
          <w:szCs w:val="22"/>
        </w:rPr>
        <w:t>Journal of Islamic Law</w:t>
      </w:r>
      <w:r w:rsidRPr="00435066">
        <w:rPr>
          <w:rFonts w:asciiTheme="minorHAnsi" w:hAnsiTheme="minorHAnsi" w:cstheme="minorHAnsi"/>
          <w:sz w:val="22"/>
          <w:szCs w:val="22"/>
        </w:rPr>
        <w:t xml:space="preserve"> 3/1 (1998): 1-26. </w:t>
      </w:r>
    </w:p>
    <w:p w:rsidR="00EC6D21" w:rsidRPr="00435066" w:rsidRDefault="00EC6D21" w:rsidP="00EC6D21">
      <w:pPr>
        <w:pStyle w:val="ListParagraph"/>
        <w:numPr>
          <w:ilvl w:val="0"/>
          <w:numId w:val="12"/>
        </w:numPr>
        <w:ind w:right="-180"/>
        <w:rPr>
          <w:rFonts w:asciiTheme="minorHAnsi" w:hAnsiTheme="minorHAnsi" w:cstheme="minorHAnsi"/>
          <w:sz w:val="22"/>
          <w:szCs w:val="22"/>
        </w:rPr>
      </w:pPr>
      <w:proofErr w:type="spellStart"/>
      <w:r w:rsidRPr="00435066">
        <w:rPr>
          <w:rFonts w:asciiTheme="minorHAnsi" w:hAnsiTheme="minorHAnsi" w:cstheme="minorHAnsi"/>
          <w:sz w:val="22"/>
          <w:szCs w:val="22"/>
        </w:rPr>
        <w:t>Zainab</w:t>
      </w:r>
      <w:proofErr w:type="spellEnd"/>
      <w:r w:rsidRPr="00435066">
        <w:rPr>
          <w:rFonts w:asciiTheme="minorHAnsi" w:hAnsiTheme="minorHAnsi" w:cstheme="minorHAnsi"/>
          <w:sz w:val="22"/>
          <w:szCs w:val="22"/>
        </w:rPr>
        <w:t xml:space="preserve"> </w:t>
      </w:r>
      <w:proofErr w:type="spellStart"/>
      <w:r w:rsidRPr="00435066">
        <w:rPr>
          <w:rFonts w:asciiTheme="minorHAnsi" w:hAnsiTheme="minorHAnsi" w:cstheme="minorHAnsi"/>
          <w:sz w:val="22"/>
          <w:szCs w:val="22"/>
        </w:rPr>
        <w:t>Alwani</w:t>
      </w:r>
      <w:proofErr w:type="spellEnd"/>
      <w:r w:rsidRPr="00435066">
        <w:rPr>
          <w:rFonts w:asciiTheme="minorHAnsi" w:hAnsiTheme="minorHAnsi" w:cstheme="minorHAnsi"/>
          <w:sz w:val="22"/>
          <w:szCs w:val="22"/>
        </w:rPr>
        <w:t xml:space="preserve"> and </w:t>
      </w:r>
      <w:proofErr w:type="spellStart"/>
      <w:r w:rsidRPr="00435066">
        <w:rPr>
          <w:rFonts w:asciiTheme="minorHAnsi" w:hAnsiTheme="minorHAnsi" w:cstheme="minorHAnsi"/>
          <w:sz w:val="22"/>
          <w:szCs w:val="22"/>
        </w:rPr>
        <w:t>Celene</w:t>
      </w:r>
      <w:proofErr w:type="spellEnd"/>
      <w:r w:rsidRPr="00435066">
        <w:rPr>
          <w:rFonts w:asciiTheme="minorHAnsi" w:hAnsiTheme="minorHAnsi" w:cstheme="minorHAnsi"/>
          <w:sz w:val="22"/>
          <w:szCs w:val="22"/>
        </w:rPr>
        <w:t xml:space="preserve"> </w:t>
      </w:r>
      <w:proofErr w:type="spellStart"/>
      <w:r w:rsidRPr="00435066">
        <w:rPr>
          <w:rFonts w:asciiTheme="minorHAnsi" w:hAnsiTheme="minorHAnsi" w:cstheme="minorHAnsi"/>
          <w:sz w:val="22"/>
          <w:szCs w:val="22"/>
        </w:rPr>
        <w:t>Ayat</w:t>
      </w:r>
      <w:proofErr w:type="spellEnd"/>
      <w:r w:rsidRPr="00435066">
        <w:rPr>
          <w:rFonts w:asciiTheme="minorHAnsi" w:hAnsiTheme="minorHAnsi" w:cstheme="minorHAnsi"/>
          <w:sz w:val="22"/>
          <w:szCs w:val="22"/>
        </w:rPr>
        <w:t xml:space="preserve"> </w:t>
      </w:r>
      <w:proofErr w:type="spellStart"/>
      <w:r w:rsidRPr="00435066">
        <w:rPr>
          <w:rFonts w:asciiTheme="minorHAnsi" w:hAnsiTheme="minorHAnsi" w:cstheme="minorHAnsi"/>
          <w:sz w:val="22"/>
          <w:szCs w:val="22"/>
        </w:rPr>
        <w:t>Lizzio</w:t>
      </w:r>
      <w:proofErr w:type="spellEnd"/>
      <w:r w:rsidRPr="00435066">
        <w:rPr>
          <w:rFonts w:asciiTheme="minorHAnsi" w:hAnsiTheme="minorHAnsi" w:cstheme="minorHAnsi"/>
          <w:sz w:val="22"/>
          <w:szCs w:val="22"/>
        </w:rPr>
        <w:t xml:space="preserve">, “Religion, Gender, and Family Law: Critical Perspectives on Integration for European Muslims,” chapter in </w:t>
      </w:r>
      <w:r w:rsidRPr="00435066">
        <w:rPr>
          <w:rFonts w:asciiTheme="minorHAnsi" w:hAnsiTheme="minorHAnsi" w:cstheme="minorHAnsi"/>
          <w:i/>
          <w:iCs/>
          <w:sz w:val="22"/>
          <w:szCs w:val="22"/>
        </w:rPr>
        <w:t>Applying Sharia in the West:</w:t>
      </w:r>
      <w:r w:rsidRPr="00435066">
        <w:rPr>
          <w:rFonts w:asciiTheme="minorHAnsi" w:hAnsiTheme="minorHAnsi" w:cstheme="minorHAnsi"/>
          <w:i/>
          <w:iCs/>
          <w:sz w:val="22"/>
          <w:szCs w:val="22"/>
          <w:shd w:val="clear" w:color="auto" w:fill="FFFFFF"/>
        </w:rPr>
        <w:t xml:space="preserve"> Facts, Fears and the Future of Islamic Rules On Family Relations in the West</w:t>
      </w:r>
      <w:r w:rsidRPr="00435066">
        <w:rPr>
          <w:rFonts w:asciiTheme="minorHAnsi" w:hAnsiTheme="minorHAnsi" w:cstheme="minorHAnsi"/>
          <w:sz w:val="22"/>
          <w:szCs w:val="22"/>
          <w:shd w:val="clear" w:color="auto" w:fill="FFFFFF"/>
        </w:rPr>
        <w:t xml:space="preserve">. Edited by </w:t>
      </w:r>
      <w:proofErr w:type="spellStart"/>
      <w:r w:rsidRPr="00435066">
        <w:rPr>
          <w:rFonts w:asciiTheme="minorHAnsi" w:hAnsiTheme="minorHAnsi" w:cstheme="minorHAnsi"/>
          <w:sz w:val="22"/>
          <w:szCs w:val="22"/>
          <w:shd w:val="clear" w:color="auto" w:fill="FFFFFF"/>
        </w:rPr>
        <w:t>Marits</w:t>
      </w:r>
      <w:proofErr w:type="spellEnd"/>
      <w:r w:rsidRPr="00435066">
        <w:rPr>
          <w:rFonts w:asciiTheme="minorHAnsi" w:hAnsiTheme="minorHAnsi" w:cstheme="minorHAnsi"/>
          <w:sz w:val="22"/>
          <w:szCs w:val="22"/>
          <w:shd w:val="clear" w:color="auto" w:fill="FFFFFF"/>
        </w:rPr>
        <w:t xml:space="preserve"> S. Berger (Leiden: Leiden University Press, 2013), 227 - 240.</w:t>
      </w:r>
    </w:p>
    <w:p w:rsidR="00EC6D21" w:rsidRPr="00435066" w:rsidRDefault="00EC6D21" w:rsidP="00EC6D21">
      <w:pPr>
        <w:pStyle w:val="ListParagraph"/>
        <w:numPr>
          <w:ilvl w:val="0"/>
          <w:numId w:val="12"/>
        </w:numPr>
        <w:ind w:right="-180"/>
        <w:rPr>
          <w:rFonts w:asciiTheme="minorHAnsi" w:hAnsiTheme="minorHAnsi" w:cstheme="minorHAnsi"/>
          <w:sz w:val="22"/>
          <w:szCs w:val="22"/>
        </w:rPr>
      </w:pPr>
      <w:r w:rsidRPr="00435066">
        <w:rPr>
          <w:rFonts w:asciiTheme="minorHAnsi" w:hAnsiTheme="minorHAnsi" w:cstheme="minorHAnsi"/>
          <w:sz w:val="22"/>
          <w:szCs w:val="22"/>
          <w:u w:val="single"/>
        </w:rPr>
        <w:t>Further reading:</w:t>
      </w:r>
      <w:r w:rsidRPr="00435066">
        <w:rPr>
          <w:rFonts w:asciiTheme="minorHAnsi" w:hAnsiTheme="minorHAnsi" w:cstheme="minorHAnsi"/>
          <w:sz w:val="22"/>
          <w:szCs w:val="22"/>
        </w:rPr>
        <w:t xml:space="preserve"> Peter W. Beauchamp, “Misinterpreted Justice: Problems with the Use of Islamic Legal Experts in U.S. Trial Courts,” </w:t>
      </w:r>
      <w:r w:rsidRPr="00435066">
        <w:rPr>
          <w:rFonts w:asciiTheme="minorHAnsi" w:hAnsiTheme="minorHAnsi" w:cstheme="minorHAnsi"/>
          <w:i/>
          <w:sz w:val="22"/>
          <w:szCs w:val="22"/>
        </w:rPr>
        <w:t xml:space="preserve">New York Law School Review </w:t>
      </w:r>
      <w:r w:rsidRPr="00435066">
        <w:rPr>
          <w:rFonts w:asciiTheme="minorHAnsi" w:hAnsiTheme="minorHAnsi" w:cstheme="minorHAnsi"/>
          <w:sz w:val="22"/>
          <w:szCs w:val="22"/>
        </w:rPr>
        <w:t xml:space="preserve">vol. 55 (2010/11): 1097-1119. </w:t>
      </w:r>
      <w:hyperlink r:id="rId8" w:history="1">
        <w:r w:rsidRPr="00435066">
          <w:rPr>
            <w:rStyle w:val="Hyperlink"/>
            <w:rFonts w:asciiTheme="minorHAnsi" w:hAnsiTheme="minorHAnsi" w:cstheme="minorHAnsi"/>
            <w:sz w:val="22"/>
            <w:szCs w:val="22"/>
          </w:rPr>
          <w:t>http://www.nyls.edu/user_files/1/3/4/17/49/1156/Law%20Review%2055.4_07Beauchamp.pdf</w:t>
        </w:r>
      </w:hyperlink>
      <w:r w:rsidRPr="00435066">
        <w:rPr>
          <w:rFonts w:asciiTheme="minorHAnsi" w:hAnsiTheme="minorHAnsi" w:cstheme="minorHAnsi"/>
          <w:sz w:val="22"/>
          <w:szCs w:val="22"/>
        </w:rPr>
        <w:t xml:space="preserve"> </w:t>
      </w:r>
    </w:p>
    <w:p w:rsidR="00EC6D21" w:rsidRPr="00435066" w:rsidRDefault="00EC6D21" w:rsidP="00EC6D21">
      <w:pPr>
        <w:pStyle w:val="ListParagraph"/>
        <w:numPr>
          <w:ilvl w:val="0"/>
          <w:numId w:val="12"/>
        </w:numPr>
        <w:ind w:right="-180"/>
        <w:rPr>
          <w:rFonts w:asciiTheme="minorHAnsi" w:hAnsiTheme="minorHAnsi" w:cstheme="minorHAnsi"/>
          <w:sz w:val="22"/>
          <w:szCs w:val="22"/>
        </w:rPr>
      </w:pPr>
      <w:r w:rsidRPr="00435066">
        <w:rPr>
          <w:rFonts w:asciiTheme="minorHAnsi" w:hAnsiTheme="minorHAnsi" w:cstheme="minorHAnsi"/>
          <w:sz w:val="22"/>
          <w:szCs w:val="22"/>
          <w:u w:val="single"/>
        </w:rPr>
        <w:t>Further reading:</w:t>
      </w:r>
      <w:r w:rsidRPr="00435066">
        <w:rPr>
          <w:rFonts w:asciiTheme="minorHAnsi" w:hAnsiTheme="minorHAnsi" w:cstheme="minorHAnsi"/>
          <w:sz w:val="22"/>
          <w:szCs w:val="22"/>
        </w:rPr>
        <w:t xml:space="preserve"> </w:t>
      </w:r>
      <w:proofErr w:type="spellStart"/>
      <w:r w:rsidRPr="00435066">
        <w:rPr>
          <w:rFonts w:asciiTheme="minorHAnsi" w:hAnsiTheme="minorHAnsi" w:cstheme="minorHAnsi"/>
          <w:sz w:val="22"/>
          <w:szCs w:val="22"/>
        </w:rPr>
        <w:t>Taha</w:t>
      </w:r>
      <w:proofErr w:type="spellEnd"/>
      <w:r w:rsidRPr="00435066">
        <w:rPr>
          <w:rFonts w:asciiTheme="minorHAnsi" w:hAnsiTheme="minorHAnsi" w:cstheme="minorHAnsi"/>
          <w:sz w:val="22"/>
          <w:szCs w:val="22"/>
        </w:rPr>
        <w:t xml:space="preserve"> Jabir </w:t>
      </w:r>
      <w:proofErr w:type="spellStart"/>
      <w:r w:rsidRPr="00435066">
        <w:rPr>
          <w:rFonts w:asciiTheme="minorHAnsi" w:hAnsiTheme="minorHAnsi" w:cstheme="minorHAnsi"/>
          <w:sz w:val="22"/>
          <w:szCs w:val="22"/>
        </w:rPr>
        <w:t>Alwani</w:t>
      </w:r>
      <w:proofErr w:type="spellEnd"/>
      <w:r w:rsidRPr="00435066">
        <w:rPr>
          <w:rFonts w:asciiTheme="minorHAnsi" w:hAnsiTheme="minorHAnsi" w:cstheme="minorHAnsi"/>
          <w:sz w:val="22"/>
          <w:szCs w:val="22"/>
        </w:rPr>
        <w:t xml:space="preserve">, </w:t>
      </w:r>
      <w:r w:rsidRPr="00435066">
        <w:rPr>
          <w:rFonts w:asciiTheme="minorHAnsi" w:hAnsiTheme="minorHAnsi" w:cstheme="minorHAnsi"/>
          <w:i/>
          <w:iCs/>
          <w:sz w:val="22"/>
          <w:szCs w:val="22"/>
        </w:rPr>
        <w:t xml:space="preserve">Towards a </w:t>
      </w:r>
      <w:proofErr w:type="spellStart"/>
      <w:r w:rsidRPr="00435066">
        <w:rPr>
          <w:rFonts w:asciiTheme="minorHAnsi" w:hAnsiTheme="minorHAnsi" w:cstheme="minorHAnsi"/>
          <w:i/>
          <w:iCs/>
          <w:sz w:val="22"/>
          <w:szCs w:val="22"/>
        </w:rPr>
        <w:t>Fiqh</w:t>
      </w:r>
      <w:proofErr w:type="spellEnd"/>
      <w:r w:rsidRPr="00435066">
        <w:rPr>
          <w:rFonts w:asciiTheme="minorHAnsi" w:hAnsiTheme="minorHAnsi" w:cstheme="minorHAnsi"/>
          <w:i/>
          <w:iCs/>
          <w:sz w:val="22"/>
          <w:szCs w:val="22"/>
        </w:rPr>
        <w:t xml:space="preserve"> for Minorities: Some Basic Reflections. </w:t>
      </w:r>
      <w:r w:rsidRPr="00435066">
        <w:rPr>
          <w:rFonts w:asciiTheme="minorHAnsi" w:hAnsiTheme="minorHAnsi" w:cstheme="minorHAnsi"/>
          <w:sz w:val="22"/>
          <w:szCs w:val="22"/>
        </w:rPr>
        <w:t xml:space="preserve">New revised edition. Translated by Ashur A. </w:t>
      </w:r>
      <w:proofErr w:type="spellStart"/>
      <w:r w:rsidRPr="00435066">
        <w:rPr>
          <w:rFonts w:asciiTheme="minorHAnsi" w:hAnsiTheme="minorHAnsi" w:cstheme="minorHAnsi"/>
          <w:sz w:val="22"/>
          <w:szCs w:val="22"/>
        </w:rPr>
        <w:t>Shamis</w:t>
      </w:r>
      <w:proofErr w:type="spellEnd"/>
      <w:r w:rsidRPr="00435066">
        <w:rPr>
          <w:rFonts w:asciiTheme="minorHAnsi" w:hAnsiTheme="minorHAnsi" w:cstheme="minorHAnsi"/>
          <w:sz w:val="22"/>
          <w:szCs w:val="22"/>
        </w:rPr>
        <w:t xml:space="preserve">. London &amp; Washington: International Institute of Islamic Thought, 2003. </w:t>
      </w:r>
    </w:p>
    <w:p w:rsidR="00EC6D21" w:rsidRPr="00435066" w:rsidRDefault="00EC6D21" w:rsidP="00EC6D21">
      <w:pPr>
        <w:ind w:right="-180"/>
        <w:rPr>
          <w:rFonts w:cstheme="minorHAnsi"/>
          <w:b/>
          <w:bCs/>
        </w:rPr>
      </w:pPr>
    </w:p>
    <w:p w:rsidR="00EC6D21" w:rsidRPr="00435066" w:rsidRDefault="00EC6D21" w:rsidP="00EC6D21">
      <w:pPr>
        <w:ind w:right="-180"/>
        <w:rPr>
          <w:rFonts w:cstheme="minorHAnsi"/>
          <w:b/>
          <w:bCs/>
        </w:rPr>
      </w:pPr>
      <w:r w:rsidRPr="00435066">
        <w:rPr>
          <w:rFonts w:cstheme="minorHAnsi"/>
          <w:b/>
          <w:bCs/>
          <w:color w:val="FF0000"/>
        </w:rPr>
        <w:t>April 13: Take-Home exam due</w:t>
      </w:r>
      <w:r w:rsidRPr="00435066">
        <w:rPr>
          <w:rFonts w:cstheme="minorHAnsi"/>
          <w:b/>
          <w:bCs/>
        </w:rPr>
        <w:br w:type="page"/>
      </w:r>
    </w:p>
    <w:p w:rsidR="00EC6D21" w:rsidRPr="00435066" w:rsidRDefault="00EC6D21" w:rsidP="00EC6D21">
      <w:pPr>
        <w:ind w:left="720" w:right="-180" w:hanging="720"/>
        <w:jc w:val="center"/>
        <w:rPr>
          <w:rFonts w:cstheme="minorHAnsi"/>
          <w:b/>
          <w:bCs/>
        </w:rPr>
      </w:pPr>
      <w:r w:rsidRPr="00435066">
        <w:rPr>
          <w:rFonts w:cstheme="minorHAnsi"/>
          <w:b/>
          <w:bCs/>
        </w:rPr>
        <w:lastRenderedPageBreak/>
        <w:t>RESEARCH GUIDE</w:t>
      </w:r>
    </w:p>
    <w:p w:rsidR="00EC6D21" w:rsidRPr="00435066" w:rsidRDefault="00EC6D21" w:rsidP="00EC6D21">
      <w:pPr>
        <w:ind w:left="720" w:right="-180" w:hanging="720"/>
        <w:rPr>
          <w:rFonts w:cstheme="minorHAnsi"/>
          <w:b/>
          <w:bCs/>
        </w:rPr>
      </w:pPr>
    </w:p>
    <w:p w:rsidR="00EC6D21" w:rsidRPr="00435066" w:rsidRDefault="00EC6D21" w:rsidP="00EC6D21">
      <w:pPr>
        <w:ind w:left="720" w:right="-180" w:hanging="720"/>
        <w:rPr>
          <w:rFonts w:cstheme="minorHAnsi"/>
          <w:b/>
          <w:bCs/>
        </w:rPr>
      </w:pPr>
      <w:r w:rsidRPr="00435066">
        <w:rPr>
          <w:rFonts w:cstheme="minorHAnsi"/>
          <w:b/>
          <w:bCs/>
        </w:rPr>
        <w:t>Transliteration</w:t>
      </w:r>
    </w:p>
    <w:p w:rsidR="00EC6D21" w:rsidRPr="00435066" w:rsidRDefault="00EC6D21" w:rsidP="00EC6D21">
      <w:pPr>
        <w:ind w:right="-180"/>
        <w:rPr>
          <w:rFonts w:cstheme="minorHAnsi"/>
        </w:rPr>
      </w:pPr>
      <w:r w:rsidRPr="00435066">
        <w:rPr>
          <w:rFonts w:cstheme="minorHAnsi"/>
        </w:rPr>
        <w:t xml:space="preserve">For Arabic, Persian, Turkish and other Middle Eastern languages, you must use the most commonly used current academic transliteration system established by IJMES and described in detail here: </w:t>
      </w:r>
      <w:hyperlink r:id="rId9" w:history="1">
        <w:r w:rsidRPr="00435066">
          <w:rPr>
            <w:rStyle w:val="Hyperlink"/>
            <w:rFonts w:cstheme="minorHAnsi"/>
            <w:color w:val="auto"/>
          </w:rPr>
          <w:t>http://ijmes.chass.ncsu.edu/IJMES_Translation_and_Transliteration_Guide.htm</w:t>
        </w:r>
      </w:hyperlink>
      <w:r w:rsidRPr="00435066">
        <w:rPr>
          <w:rFonts w:cstheme="minorHAnsi"/>
        </w:rPr>
        <w:t xml:space="preserve">. </w:t>
      </w:r>
    </w:p>
    <w:p w:rsidR="00EC6D21" w:rsidRPr="00435066" w:rsidRDefault="00EC6D21" w:rsidP="00EC6D21">
      <w:pPr>
        <w:ind w:left="720" w:right="-180" w:hanging="720"/>
        <w:rPr>
          <w:rFonts w:cstheme="minorHAnsi"/>
          <w:b/>
          <w:bCs/>
        </w:rPr>
      </w:pPr>
    </w:p>
    <w:p w:rsidR="00EC6D21" w:rsidRPr="00435066" w:rsidRDefault="00EC6D21" w:rsidP="00EC6D21">
      <w:pPr>
        <w:ind w:left="720" w:right="-180" w:hanging="720"/>
        <w:rPr>
          <w:rFonts w:cstheme="minorHAnsi"/>
          <w:b/>
          <w:bCs/>
        </w:rPr>
      </w:pPr>
      <w:r w:rsidRPr="00435066">
        <w:rPr>
          <w:rFonts w:cstheme="minorHAnsi"/>
          <w:b/>
          <w:bCs/>
        </w:rPr>
        <w:t>Digital Indexes</w:t>
      </w:r>
    </w:p>
    <w:p w:rsidR="00EC6D21" w:rsidRPr="00435066" w:rsidRDefault="00EC6D21" w:rsidP="00EC6D21">
      <w:pPr>
        <w:pStyle w:val="ListParagraph"/>
        <w:numPr>
          <w:ilvl w:val="0"/>
          <w:numId w:val="11"/>
        </w:numPr>
        <w:ind w:right="-180"/>
        <w:rPr>
          <w:rFonts w:asciiTheme="minorHAnsi" w:hAnsiTheme="minorHAnsi" w:cstheme="minorHAnsi"/>
          <w:sz w:val="22"/>
          <w:szCs w:val="22"/>
        </w:rPr>
      </w:pPr>
      <w:r w:rsidRPr="00435066">
        <w:rPr>
          <w:rFonts w:asciiTheme="minorHAnsi" w:hAnsiTheme="minorHAnsi" w:cstheme="minorHAnsi"/>
          <w:sz w:val="22"/>
          <w:szCs w:val="22"/>
        </w:rPr>
        <w:t>JSTOR</w:t>
      </w:r>
    </w:p>
    <w:p w:rsidR="00EC6D21" w:rsidRPr="00435066" w:rsidRDefault="00EC6D21" w:rsidP="00EC6D21">
      <w:pPr>
        <w:pStyle w:val="ListParagraph"/>
        <w:numPr>
          <w:ilvl w:val="0"/>
          <w:numId w:val="11"/>
        </w:numPr>
        <w:ind w:right="-180"/>
        <w:rPr>
          <w:rFonts w:asciiTheme="minorHAnsi" w:hAnsiTheme="minorHAnsi" w:cstheme="minorHAnsi"/>
          <w:sz w:val="22"/>
          <w:szCs w:val="22"/>
        </w:rPr>
      </w:pPr>
      <w:r w:rsidRPr="00435066">
        <w:rPr>
          <w:rFonts w:asciiTheme="minorHAnsi" w:hAnsiTheme="minorHAnsi" w:cstheme="minorHAnsi"/>
          <w:sz w:val="22"/>
          <w:szCs w:val="22"/>
        </w:rPr>
        <w:t xml:space="preserve">Index </w:t>
      </w:r>
      <w:proofErr w:type="spellStart"/>
      <w:r w:rsidRPr="00435066">
        <w:rPr>
          <w:rFonts w:asciiTheme="minorHAnsi" w:hAnsiTheme="minorHAnsi" w:cstheme="minorHAnsi"/>
          <w:sz w:val="22"/>
          <w:szCs w:val="22"/>
        </w:rPr>
        <w:t>Islamicus</w:t>
      </w:r>
      <w:proofErr w:type="spellEnd"/>
    </w:p>
    <w:p w:rsidR="00EC6D21" w:rsidRPr="00435066" w:rsidRDefault="00EC6D21" w:rsidP="00EC6D21">
      <w:pPr>
        <w:ind w:right="-180"/>
        <w:rPr>
          <w:rFonts w:cstheme="minorHAnsi"/>
        </w:rPr>
      </w:pPr>
    </w:p>
    <w:p w:rsidR="00EC6D21" w:rsidRPr="00435066" w:rsidRDefault="00EC6D21" w:rsidP="00EC6D21">
      <w:pPr>
        <w:ind w:left="720" w:right="-180" w:hanging="720"/>
        <w:rPr>
          <w:rFonts w:cstheme="minorHAnsi"/>
          <w:b/>
          <w:bCs/>
        </w:rPr>
      </w:pPr>
      <w:r w:rsidRPr="00435066">
        <w:rPr>
          <w:rFonts w:cstheme="minorHAnsi"/>
          <w:b/>
          <w:bCs/>
        </w:rPr>
        <w:t>Important Journals</w:t>
      </w:r>
    </w:p>
    <w:p w:rsidR="00EC6D21" w:rsidRPr="00435066" w:rsidRDefault="00EC6D21" w:rsidP="00EC6D21">
      <w:pPr>
        <w:pStyle w:val="ListParagraph"/>
        <w:numPr>
          <w:ilvl w:val="0"/>
          <w:numId w:val="10"/>
        </w:numPr>
        <w:ind w:right="-180"/>
        <w:rPr>
          <w:rFonts w:asciiTheme="minorHAnsi" w:hAnsiTheme="minorHAnsi" w:cstheme="minorHAnsi"/>
          <w:i/>
          <w:iCs/>
          <w:sz w:val="22"/>
          <w:szCs w:val="22"/>
        </w:rPr>
      </w:pPr>
      <w:r w:rsidRPr="00435066">
        <w:rPr>
          <w:rFonts w:asciiTheme="minorHAnsi" w:hAnsiTheme="minorHAnsi" w:cstheme="minorHAnsi"/>
          <w:i/>
          <w:iCs/>
          <w:sz w:val="22"/>
          <w:szCs w:val="22"/>
        </w:rPr>
        <w:t>Islamic Law and Society</w:t>
      </w:r>
    </w:p>
    <w:p w:rsidR="00EC6D21" w:rsidRPr="00435066" w:rsidRDefault="00EC6D21" w:rsidP="00EC6D21">
      <w:pPr>
        <w:pStyle w:val="ListParagraph"/>
        <w:numPr>
          <w:ilvl w:val="0"/>
          <w:numId w:val="10"/>
        </w:numPr>
        <w:ind w:right="-180"/>
        <w:rPr>
          <w:rFonts w:asciiTheme="minorHAnsi" w:hAnsiTheme="minorHAnsi" w:cstheme="minorHAnsi"/>
          <w:i/>
          <w:iCs/>
          <w:sz w:val="22"/>
          <w:szCs w:val="22"/>
        </w:rPr>
      </w:pPr>
      <w:r w:rsidRPr="00435066">
        <w:rPr>
          <w:rFonts w:asciiTheme="minorHAnsi" w:hAnsiTheme="minorHAnsi" w:cstheme="minorHAnsi"/>
          <w:i/>
          <w:iCs/>
          <w:sz w:val="22"/>
          <w:szCs w:val="22"/>
        </w:rPr>
        <w:t>Journal of Islamic Law and Culture</w:t>
      </w:r>
    </w:p>
    <w:p w:rsidR="00EC6D21" w:rsidRPr="00435066" w:rsidRDefault="00EC6D21" w:rsidP="00EC6D21">
      <w:pPr>
        <w:pStyle w:val="ListParagraph"/>
        <w:numPr>
          <w:ilvl w:val="0"/>
          <w:numId w:val="10"/>
        </w:numPr>
        <w:ind w:right="-180"/>
        <w:rPr>
          <w:rFonts w:asciiTheme="minorHAnsi" w:hAnsiTheme="minorHAnsi" w:cstheme="minorHAnsi"/>
          <w:i/>
          <w:iCs/>
          <w:sz w:val="22"/>
          <w:szCs w:val="22"/>
        </w:rPr>
      </w:pPr>
      <w:r w:rsidRPr="00435066">
        <w:rPr>
          <w:rFonts w:asciiTheme="minorHAnsi" w:hAnsiTheme="minorHAnsi" w:cstheme="minorHAnsi"/>
          <w:i/>
          <w:iCs/>
          <w:sz w:val="22"/>
          <w:szCs w:val="22"/>
        </w:rPr>
        <w:t>UCLA Journal of Islamic and Near Eastern Law</w:t>
      </w:r>
    </w:p>
    <w:p w:rsidR="00EC6D21" w:rsidRPr="00435066" w:rsidRDefault="00EC6D21" w:rsidP="00EC6D21">
      <w:pPr>
        <w:pStyle w:val="ListParagraph"/>
        <w:numPr>
          <w:ilvl w:val="0"/>
          <w:numId w:val="10"/>
        </w:numPr>
        <w:ind w:right="-180"/>
        <w:rPr>
          <w:rFonts w:asciiTheme="minorHAnsi" w:hAnsiTheme="minorHAnsi" w:cstheme="minorHAnsi"/>
          <w:i/>
          <w:iCs/>
          <w:sz w:val="22"/>
          <w:szCs w:val="22"/>
        </w:rPr>
      </w:pPr>
      <w:r w:rsidRPr="00435066">
        <w:rPr>
          <w:rFonts w:asciiTheme="minorHAnsi" w:hAnsiTheme="minorHAnsi" w:cstheme="minorHAnsi"/>
          <w:i/>
          <w:iCs/>
          <w:sz w:val="22"/>
          <w:szCs w:val="22"/>
        </w:rPr>
        <w:t xml:space="preserve">Islamic Law and Law of the Muslim World </w:t>
      </w:r>
      <w:proofErr w:type="spellStart"/>
      <w:r w:rsidRPr="00435066">
        <w:rPr>
          <w:rFonts w:asciiTheme="minorHAnsi" w:hAnsiTheme="minorHAnsi" w:cstheme="minorHAnsi"/>
          <w:i/>
          <w:iCs/>
          <w:sz w:val="22"/>
          <w:szCs w:val="22"/>
        </w:rPr>
        <w:t>ejournal</w:t>
      </w:r>
      <w:proofErr w:type="spellEnd"/>
    </w:p>
    <w:p w:rsidR="00EC6D21" w:rsidRPr="00435066" w:rsidRDefault="00EC6D21" w:rsidP="00EC6D21">
      <w:pPr>
        <w:pStyle w:val="ListParagraph"/>
        <w:numPr>
          <w:ilvl w:val="0"/>
          <w:numId w:val="10"/>
        </w:numPr>
        <w:ind w:right="-180"/>
        <w:rPr>
          <w:rFonts w:asciiTheme="minorHAnsi" w:hAnsiTheme="minorHAnsi" w:cstheme="minorHAnsi"/>
          <w:i/>
          <w:iCs/>
          <w:sz w:val="22"/>
          <w:szCs w:val="22"/>
        </w:rPr>
      </w:pPr>
      <w:r w:rsidRPr="00435066">
        <w:rPr>
          <w:rFonts w:asciiTheme="minorHAnsi" w:hAnsiTheme="minorHAnsi" w:cstheme="minorHAnsi"/>
          <w:i/>
          <w:iCs/>
          <w:sz w:val="22"/>
          <w:szCs w:val="22"/>
        </w:rPr>
        <w:t>Berkeley Journal of Middle Eastern and Islamic Law</w:t>
      </w:r>
    </w:p>
    <w:p w:rsidR="00EC6D21" w:rsidRPr="00435066" w:rsidRDefault="00EC6D21" w:rsidP="00EC6D21">
      <w:pPr>
        <w:pStyle w:val="ListParagraph"/>
        <w:numPr>
          <w:ilvl w:val="0"/>
          <w:numId w:val="10"/>
        </w:numPr>
        <w:ind w:right="-180"/>
        <w:rPr>
          <w:rFonts w:asciiTheme="minorHAnsi" w:hAnsiTheme="minorHAnsi" w:cstheme="minorHAnsi"/>
          <w:i/>
          <w:iCs/>
          <w:sz w:val="22"/>
          <w:szCs w:val="22"/>
        </w:rPr>
      </w:pPr>
      <w:r w:rsidRPr="00435066">
        <w:rPr>
          <w:rFonts w:asciiTheme="minorHAnsi" w:hAnsiTheme="minorHAnsi" w:cstheme="minorHAnsi"/>
          <w:i/>
          <w:iCs/>
          <w:sz w:val="22"/>
          <w:szCs w:val="22"/>
        </w:rPr>
        <w:t>Arab Law Quarterly</w:t>
      </w:r>
    </w:p>
    <w:p w:rsidR="00EC6D21" w:rsidRPr="00435066" w:rsidRDefault="00E550D8" w:rsidP="00EC6D21">
      <w:pPr>
        <w:pStyle w:val="ListParagraph"/>
        <w:numPr>
          <w:ilvl w:val="0"/>
          <w:numId w:val="10"/>
        </w:numPr>
        <w:ind w:right="-180"/>
        <w:rPr>
          <w:rFonts w:asciiTheme="minorHAnsi" w:hAnsiTheme="minorHAnsi" w:cstheme="minorHAnsi"/>
          <w:i/>
          <w:iCs/>
          <w:sz w:val="22"/>
          <w:szCs w:val="22"/>
        </w:rPr>
      </w:pPr>
      <w:hyperlink r:id="rId10" w:history="1">
        <w:proofErr w:type="spellStart"/>
        <w:r w:rsidR="00EC6D21" w:rsidRPr="00435066">
          <w:rPr>
            <w:rStyle w:val="Hyperlink"/>
            <w:rFonts w:asciiTheme="minorHAnsi" w:hAnsiTheme="minorHAnsi" w:cstheme="minorHAnsi"/>
            <w:i/>
            <w:iCs/>
            <w:color w:val="auto"/>
            <w:sz w:val="22"/>
            <w:szCs w:val="22"/>
            <w:u w:val="none"/>
          </w:rPr>
          <w:t>Majallat</w:t>
        </w:r>
        <w:proofErr w:type="spellEnd"/>
        <w:r w:rsidR="00EC6D21" w:rsidRPr="00435066">
          <w:rPr>
            <w:rStyle w:val="Hyperlink"/>
            <w:rFonts w:asciiTheme="minorHAnsi" w:hAnsiTheme="minorHAnsi" w:cstheme="minorHAnsi"/>
            <w:i/>
            <w:iCs/>
            <w:color w:val="auto"/>
            <w:sz w:val="22"/>
            <w:szCs w:val="22"/>
            <w:u w:val="none"/>
          </w:rPr>
          <w:t xml:space="preserve"> al-</w:t>
        </w:r>
        <w:proofErr w:type="spellStart"/>
        <w:r w:rsidR="00EC6D21" w:rsidRPr="00435066">
          <w:rPr>
            <w:rStyle w:val="Hyperlink"/>
            <w:rFonts w:asciiTheme="minorHAnsi" w:hAnsiTheme="minorHAnsi" w:cstheme="minorHAnsi"/>
            <w:i/>
            <w:iCs/>
            <w:color w:val="auto"/>
            <w:sz w:val="22"/>
            <w:szCs w:val="22"/>
            <w:u w:val="none"/>
          </w:rPr>
          <w:t>sharīʻah</w:t>
        </w:r>
        <w:proofErr w:type="spellEnd"/>
        <w:r w:rsidR="00EC6D21" w:rsidRPr="00435066">
          <w:rPr>
            <w:rStyle w:val="Hyperlink"/>
            <w:rFonts w:asciiTheme="minorHAnsi" w:hAnsiTheme="minorHAnsi" w:cstheme="minorHAnsi"/>
            <w:i/>
            <w:iCs/>
            <w:color w:val="auto"/>
            <w:sz w:val="22"/>
            <w:szCs w:val="22"/>
            <w:u w:val="none"/>
          </w:rPr>
          <w:t xml:space="preserve"> </w:t>
        </w:r>
        <w:proofErr w:type="spellStart"/>
        <w:r w:rsidR="00EC6D21" w:rsidRPr="00435066">
          <w:rPr>
            <w:rStyle w:val="Hyperlink"/>
            <w:rFonts w:asciiTheme="minorHAnsi" w:hAnsiTheme="minorHAnsi" w:cstheme="minorHAnsi"/>
            <w:i/>
            <w:iCs/>
            <w:color w:val="auto"/>
            <w:sz w:val="22"/>
            <w:szCs w:val="22"/>
            <w:u w:val="none"/>
          </w:rPr>
          <w:t>wa</w:t>
        </w:r>
        <w:proofErr w:type="spellEnd"/>
        <w:r w:rsidR="00EC6D21" w:rsidRPr="00435066">
          <w:rPr>
            <w:rStyle w:val="Hyperlink"/>
            <w:rFonts w:asciiTheme="minorHAnsi" w:hAnsiTheme="minorHAnsi" w:cstheme="minorHAnsi"/>
            <w:i/>
            <w:iCs/>
            <w:color w:val="auto"/>
            <w:sz w:val="22"/>
            <w:szCs w:val="22"/>
            <w:u w:val="none"/>
          </w:rPr>
          <w:t>-al-</w:t>
        </w:r>
        <w:proofErr w:type="spellStart"/>
        <w:r w:rsidR="00EC6D21" w:rsidRPr="00435066">
          <w:rPr>
            <w:rStyle w:val="Hyperlink"/>
            <w:rFonts w:asciiTheme="minorHAnsi" w:hAnsiTheme="minorHAnsi" w:cstheme="minorHAnsi"/>
            <w:i/>
            <w:iCs/>
            <w:color w:val="auto"/>
            <w:sz w:val="22"/>
            <w:szCs w:val="22"/>
            <w:u w:val="none"/>
          </w:rPr>
          <w:t>dirāsāt</w:t>
        </w:r>
        <w:proofErr w:type="spellEnd"/>
        <w:r w:rsidR="00EC6D21" w:rsidRPr="00435066">
          <w:rPr>
            <w:rStyle w:val="Hyperlink"/>
            <w:rFonts w:asciiTheme="minorHAnsi" w:hAnsiTheme="minorHAnsi" w:cstheme="minorHAnsi"/>
            <w:i/>
            <w:iCs/>
            <w:color w:val="auto"/>
            <w:sz w:val="22"/>
            <w:szCs w:val="22"/>
            <w:u w:val="none"/>
          </w:rPr>
          <w:t xml:space="preserve"> al-</w:t>
        </w:r>
        <w:proofErr w:type="spellStart"/>
        <w:r w:rsidR="00EC6D21" w:rsidRPr="00435066">
          <w:rPr>
            <w:rStyle w:val="Hyperlink"/>
            <w:rFonts w:asciiTheme="minorHAnsi" w:hAnsiTheme="minorHAnsi" w:cstheme="minorHAnsi"/>
            <w:i/>
            <w:iCs/>
            <w:color w:val="auto"/>
            <w:sz w:val="22"/>
            <w:szCs w:val="22"/>
            <w:u w:val="none"/>
          </w:rPr>
          <w:t>Islāmīyah</w:t>
        </w:r>
        <w:proofErr w:type="spellEnd"/>
      </w:hyperlink>
      <w:r w:rsidR="00EC6D21" w:rsidRPr="00435066">
        <w:rPr>
          <w:rFonts w:asciiTheme="minorHAnsi" w:hAnsiTheme="minorHAnsi" w:cstheme="minorHAnsi"/>
          <w:i/>
          <w:iCs/>
          <w:sz w:val="22"/>
          <w:szCs w:val="22"/>
        </w:rPr>
        <w:t xml:space="preserve"> (Journal of </w:t>
      </w:r>
      <w:proofErr w:type="spellStart"/>
      <w:r w:rsidR="00EC6D21" w:rsidRPr="00435066">
        <w:rPr>
          <w:rFonts w:asciiTheme="minorHAnsi" w:hAnsiTheme="minorHAnsi" w:cstheme="minorHAnsi"/>
          <w:i/>
          <w:iCs/>
          <w:sz w:val="22"/>
          <w:szCs w:val="22"/>
        </w:rPr>
        <w:t>Shari`a</w:t>
      </w:r>
      <w:proofErr w:type="spellEnd"/>
      <w:r w:rsidR="00EC6D21" w:rsidRPr="00435066">
        <w:rPr>
          <w:rFonts w:asciiTheme="minorHAnsi" w:hAnsiTheme="minorHAnsi" w:cstheme="minorHAnsi"/>
          <w:i/>
          <w:iCs/>
          <w:sz w:val="22"/>
          <w:szCs w:val="22"/>
        </w:rPr>
        <w:t xml:space="preserve"> and Islamic Studies)</w:t>
      </w:r>
    </w:p>
    <w:p w:rsidR="00EC6D21" w:rsidRPr="00435066" w:rsidRDefault="00EC6D21" w:rsidP="00EC6D21">
      <w:pPr>
        <w:pStyle w:val="ListParagraph"/>
        <w:numPr>
          <w:ilvl w:val="0"/>
          <w:numId w:val="10"/>
        </w:numPr>
        <w:ind w:right="-180"/>
        <w:rPr>
          <w:rFonts w:asciiTheme="minorHAnsi" w:hAnsiTheme="minorHAnsi" w:cstheme="minorHAnsi"/>
          <w:i/>
          <w:iCs/>
          <w:sz w:val="22"/>
          <w:szCs w:val="22"/>
        </w:rPr>
      </w:pPr>
      <w:r w:rsidRPr="00435066">
        <w:rPr>
          <w:rFonts w:asciiTheme="minorHAnsi" w:hAnsiTheme="minorHAnsi" w:cstheme="minorHAnsi"/>
          <w:i/>
          <w:iCs/>
          <w:sz w:val="22"/>
          <w:szCs w:val="22"/>
        </w:rPr>
        <w:t>The Muslim World Journal</w:t>
      </w:r>
    </w:p>
    <w:p w:rsidR="00EC6D21" w:rsidRPr="00435066" w:rsidRDefault="00EC6D21" w:rsidP="00EC6D21">
      <w:pPr>
        <w:pStyle w:val="ListParagraph"/>
        <w:numPr>
          <w:ilvl w:val="0"/>
          <w:numId w:val="10"/>
        </w:numPr>
        <w:ind w:right="-180"/>
        <w:rPr>
          <w:rFonts w:asciiTheme="minorHAnsi" w:hAnsiTheme="minorHAnsi" w:cstheme="minorHAnsi"/>
          <w:i/>
          <w:iCs/>
          <w:sz w:val="22"/>
          <w:szCs w:val="22"/>
        </w:rPr>
      </w:pPr>
      <w:r w:rsidRPr="00435066">
        <w:rPr>
          <w:rFonts w:asciiTheme="minorHAnsi" w:hAnsiTheme="minorHAnsi" w:cstheme="minorHAnsi"/>
          <w:i/>
          <w:iCs/>
          <w:sz w:val="22"/>
          <w:szCs w:val="22"/>
        </w:rPr>
        <w:t>International Journal of Middle East Studies</w:t>
      </w:r>
    </w:p>
    <w:p w:rsidR="00EC6D21" w:rsidRPr="00435066" w:rsidRDefault="00EC6D21" w:rsidP="00EC6D21">
      <w:pPr>
        <w:pStyle w:val="ListParagraph"/>
        <w:numPr>
          <w:ilvl w:val="0"/>
          <w:numId w:val="10"/>
        </w:numPr>
        <w:ind w:right="-180"/>
        <w:rPr>
          <w:rFonts w:asciiTheme="minorHAnsi" w:hAnsiTheme="minorHAnsi" w:cstheme="minorHAnsi"/>
          <w:i/>
          <w:iCs/>
          <w:sz w:val="22"/>
          <w:szCs w:val="22"/>
        </w:rPr>
      </w:pPr>
      <w:r w:rsidRPr="00435066">
        <w:rPr>
          <w:rFonts w:asciiTheme="minorHAnsi" w:hAnsiTheme="minorHAnsi" w:cstheme="minorHAnsi"/>
          <w:i/>
          <w:iCs/>
          <w:sz w:val="22"/>
          <w:szCs w:val="22"/>
        </w:rPr>
        <w:t>Der Islam</w:t>
      </w:r>
    </w:p>
    <w:p w:rsidR="00EC6D21" w:rsidRPr="00435066" w:rsidRDefault="00EC6D21" w:rsidP="00EC6D21">
      <w:pPr>
        <w:pStyle w:val="ListParagraph"/>
        <w:numPr>
          <w:ilvl w:val="0"/>
          <w:numId w:val="10"/>
        </w:numPr>
        <w:ind w:right="-180"/>
        <w:rPr>
          <w:rFonts w:asciiTheme="minorHAnsi" w:hAnsiTheme="minorHAnsi" w:cstheme="minorHAnsi"/>
          <w:i/>
          <w:iCs/>
          <w:sz w:val="22"/>
          <w:szCs w:val="22"/>
        </w:rPr>
      </w:pPr>
      <w:r w:rsidRPr="00435066">
        <w:rPr>
          <w:rFonts w:asciiTheme="minorHAnsi" w:hAnsiTheme="minorHAnsi" w:cstheme="minorHAnsi"/>
          <w:i/>
          <w:iCs/>
          <w:sz w:val="22"/>
          <w:szCs w:val="22"/>
        </w:rPr>
        <w:t>Journal of Oriental Studies</w:t>
      </w:r>
    </w:p>
    <w:p w:rsidR="00EC6D21" w:rsidRPr="00435066" w:rsidRDefault="00EC6D21" w:rsidP="00EC6D21">
      <w:pPr>
        <w:ind w:left="720" w:right="-180" w:hanging="720"/>
        <w:rPr>
          <w:rFonts w:cstheme="minorHAnsi"/>
        </w:rPr>
      </w:pPr>
    </w:p>
    <w:p w:rsidR="00EC6D21" w:rsidRPr="00435066" w:rsidRDefault="00EC6D21" w:rsidP="00EC6D21">
      <w:pPr>
        <w:ind w:left="720" w:right="-180" w:hanging="720"/>
        <w:rPr>
          <w:rFonts w:cstheme="minorHAnsi"/>
          <w:b/>
          <w:bCs/>
        </w:rPr>
      </w:pPr>
      <w:r w:rsidRPr="00435066">
        <w:rPr>
          <w:rFonts w:cstheme="minorHAnsi"/>
          <w:b/>
          <w:bCs/>
        </w:rPr>
        <w:t>Encyclopedias</w:t>
      </w:r>
    </w:p>
    <w:p w:rsidR="00EC6D21" w:rsidRPr="00435066" w:rsidRDefault="00EC6D21" w:rsidP="00EC6D21">
      <w:pPr>
        <w:pStyle w:val="ListParagraph"/>
        <w:numPr>
          <w:ilvl w:val="0"/>
          <w:numId w:val="9"/>
        </w:numPr>
        <w:ind w:right="-180"/>
        <w:rPr>
          <w:rFonts w:asciiTheme="minorHAnsi" w:hAnsiTheme="minorHAnsi" w:cstheme="minorHAnsi"/>
          <w:sz w:val="22"/>
          <w:szCs w:val="22"/>
        </w:rPr>
      </w:pPr>
      <w:r w:rsidRPr="00435066">
        <w:rPr>
          <w:rFonts w:asciiTheme="minorHAnsi" w:hAnsiTheme="minorHAnsi" w:cstheme="minorHAnsi"/>
          <w:sz w:val="22"/>
          <w:szCs w:val="22"/>
        </w:rPr>
        <w:t>Encyclopedia of Islam</w:t>
      </w:r>
    </w:p>
    <w:p w:rsidR="00EC6D21" w:rsidRPr="00435066" w:rsidRDefault="00EC6D21" w:rsidP="00EC6D21">
      <w:pPr>
        <w:pStyle w:val="ListParagraph"/>
        <w:numPr>
          <w:ilvl w:val="0"/>
          <w:numId w:val="9"/>
        </w:numPr>
        <w:ind w:right="-180"/>
        <w:rPr>
          <w:rFonts w:asciiTheme="minorHAnsi" w:hAnsiTheme="minorHAnsi" w:cstheme="minorHAnsi"/>
          <w:sz w:val="22"/>
          <w:szCs w:val="22"/>
        </w:rPr>
      </w:pPr>
      <w:r w:rsidRPr="00435066">
        <w:rPr>
          <w:rFonts w:asciiTheme="minorHAnsi" w:hAnsiTheme="minorHAnsi" w:cstheme="minorHAnsi"/>
          <w:sz w:val="22"/>
          <w:szCs w:val="22"/>
        </w:rPr>
        <w:t>Encyclopedia of Women in Islamic Cultures</w:t>
      </w:r>
    </w:p>
    <w:p w:rsidR="00EC6D21" w:rsidRPr="00435066" w:rsidRDefault="00EC6D21" w:rsidP="00EC6D21">
      <w:pPr>
        <w:pStyle w:val="ListParagraph"/>
        <w:numPr>
          <w:ilvl w:val="0"/>
          <w:numId w:val="9"/>
        </w:numPr>
        <w:ind w:right="-180"/>
        <w:rPr>
          <w:rFonts w:asciiTheme="minorHAnsi" w:hAnsiTheme="minorHAnsi" w:cstheme="minorHAnsi"/>
          <w:sz w:val="22"/>
          <w:szCs w:val="22"/>
        </w:rPr>
      </w:pPr>
      <w:proofErr w:type="spellStart"/>
      <w:r w:rsidRPr="00435066">
        <w:rPr>
          <w:rFonts w:asciiTheme="minorHAnsi" w:hAnsiTheme="minorHAnsi" w:cstheme="minorHAnsi"/>
          <w:sz w:val="22"/>
          <w:szCs w:val="22"/>
          <w:shd w:val="clear" w:color="auto" w:fill="FFFFFF"/>
        </w:rPr>
        <w:t>Encyclopaedia</w:t>
      </w:r>
      <w:proofErr w:type="spellEnd"/>
      <w:r w:rsidRPr="00435066">
        <w:rPr>
          <w:rFonts w:asciiTheme="minorHAnsi" w:hAnsiTheme="minorHAnsi" w:cstheme="minorHAnsi"/>
          <w:sz w:val="22"/>
          <w:szCs w:val="22"/>
          <w:shd w:val="clear" w:color="auto" w:fill="FFFFFF"/>
        </w:rPr>
        <w:t xml:space="preserve"> of Islamic law and jurisprudence, ed. by Muhammad </w:t>
      </w:r>
      <w:proofErr w:type="spellStart"/>
      <w:r w:rsidRPr="00435066">
        <w:rPr>
          <w:rFonts w:asciiTheme="minorHAnsi" w:hAnsiTheme="minorHAnsi" w:cstheme="minorHAnsi"/>
          <w:sz w:val="22"/>
          <w:szCs w:val="22"/>
          <w:shd w:val="clear" w:color="auto" w:fill="FFFFFF"/>
        </w:rPr>
        <w:t>Moinuddin</w:t>
      </w:r>
      <w:proofErr w:type="spellEnd"/>
      <w:r w:rsidRPr="00435066">
        <w:rPr>
          <w:rFonts w:asciiTheme="minorHAnsi" w:hAnsiTheme="minorHAnsi" w:cstheme="minorHAnsi"/>
          <w:sz w:val="22"/>
          <w:szCs w:val="22"/>
          <w:shd w:val="clear" w:color="auto" w:fill="FFFFFF"/>
        </w:rPr>
        <w:t xml:space="preserve"> Khan</w:t>
      </w:r>
    </w:p>
    <w:p w:rsidR="00EC6D21" w:rsidRPr="00435066" w:rsidRDefault="00EC6D21" w:rsidP="00EC6D21">
      <w:pPr>
        <w:pStyle w:val="ListParagraph"/>
        <w:numPr>
          <w:ilvl w:val="0"/>
          <w:numId w:val="9"/>
        </w:numPr>
        <w:ind w:right="-180"/>
        <w:rPr>
          <w:rFonts w:asciiTheme="minorHAnsi" w:hAnsiTheme="minorHAnsi" w:cstheme="minorHAnsi"/>
          <w:sz w:val="22"/>
          <w:szCs w:val="22"/>
          <w:shd w:val="clear" w:color="auto" w:fill="FFFFFF"/>
        </w:rPr>
      </w:pPr>
      <w:r w:rsidRPr="00435066">
        <w:rPr>
          <w:rFonts w:asciiTheme="minorHAnsi" w:hAnsiTheme="minorHAnsi" w:cstheme="minorHAnsi"/>
          <w:sz w:val="22"/>
          <w:szCs w:val="22"/>
        </w:rPr>
        <w:t xml:space="preserve">Encyclopedia </w:t>
      </w:r>
      <w:proofErr w:type="spellStart"/>
      <w:r w:rsidRPr="00435066">
        <w:rPr>
          <w:rFonts w:asciiTheme="minorHAnsi" w:hAnsiTheme="minorHAnsi" w:cstheme="minorHAnsi"/>
          <w:sz w:val="22"/>
          <w:szCs w:val="22"/>
        </w:rPr>
        <w:t>Islamica</w:t>
      </w:r>
      <w:proofErr w:type="spellEnd"/>
      <w:r w:rsidRPr="00435066">
        <w:rPr>
          <w:rFonts w:asciiTheme="minorHAnsi" w:hAnsiTheme="minorHAnsi" w:cstheme="minorHAnsi"/>
          <w:sz w:val="22"/>
          <w:szCs w:val="22"/>
        </w:rPr>
        <w:t xml:space="preserve"> (Trans. of </w:t>
      </w:r>
      <w:r w:rsidRPr="00435066">
        <w:rPr>
          <w:rFonts w:asciiTheme="minorHAnsi" w:hAnsiTheme="minorHAnsi" w:cstheme="minorHAnsi"/>
          <w:sz w:val="22"/>
          <w:szCs w:val="22"/>
          <w:shd w:val="clear" w:color="auto" w:fill="FFFFFF"/>
        </w:rPr>
        <w:t xml:space="preserve">Persian </w:t>
      </w:r>
      <w:proofErr w:type="spellStart"/>
      <w:r w:rsidRPr="00435066">
        <w:rPr>
          <w:rFonts w:asciiTheme="minorHAnsi" w:hAnsiTheme="minorHAnsi" w:cstheme="minorHAnsi"/>
          <w:sz w:val="22"/>
          <w:szCs w:val="22"/>
          <w:shd w:val="clear" w:color="auto" w:fill="FFFFFF"/>
        </w:rPr>
        <w:t>Dāʾirat</w:t>
      </w:r>
      <w:proofErr w:type="spellEnd"/>
      <w:r w:rsidRPr="00435066">
        <w:rPr>
          <w:rFonts w:asciiTheme="minorHAnsi" w:hAnsiTheme="minorHAnsi" w:cstheme="minorHAnsi"/>
          <w:sz w:val="22"/>
          <w:szCs w:val="22"/>
          <w:shd w:val="clear" w:color="auto" w:fill="FFFFFF"/>
        </w:rPr>
        <w:t xml:space="preserve"> al-</w:t>
      </w:r>
      <w:proofErr w:type="spellStart"/>
      <w:r w:rsidRPr="00435066">
        <w:rPr>
          <w:rFonts w:asciiTheme="minorHAnsi" w:hAnsiTheme="minorHAnsi" w:cstheme="minorHAnsi"/>
          <w:sz w:val="22"/>
          <w:szCs w:val="22"/>
          <w:shd w:val="clear" w:color="auto" w:fill="FFFFFF"/>
        </w:rPr>
        <w:t>Maʿārif</w:t>
      </w:r>
      <w:proofErr w:type="spellEnd"/>
      <w:r w:rsidRPr="00435066">
        <w:rPr>
          <w:rFonts w:asciiTheme="minorHAnsi" w:hAnsiTheme="minorHAnsi" w:cstheme="minorHAnsi"/>
          <w:sz w:val="22"/>
          <w:szCs w:val="22"/>
          <w:shd w:val="clear" w:color="auto" w:fill="FFFFFF"/>
        </w:rPr>
        <w:t>-</w:t>
      </w:r>
      <w:proofErr w:type="spellStart"/>
      <w:r w:rsidRPr="00435066">
        <w:rPr>
          <w:rFonts w:asciiTheme="minorHAnsi" w:hAnsiTheme="minorHAnsi" w:cstheme="minorHAnsi"/>
          <w:sz w:val="22"/>
          <w:szCs w:val="22"/>
          <w:shd w:val="clear" w:color="auto" w:fill="FFFFFF"/>
        </w:rPr>
        <w:t>i</w:t>
      </w:r>
      <w:proofErr w:type="spellEnd"/>
      <w:r w:rsidRPr="00435066">
        <w:rPr>
          <w:rFonts w:asciiTheme="minorHAnsi" w:hAnsiTheme="minorHAnsi" w:cstheme="minorHAnsi"/>
          <w:sz w:val="22"/>
          <w:szCs w:val="22"/>
          <w:shd w:val="clear" w:color="auto" w:fill="FFFFFF"/>
        </w:rPr>
        <w:t xml:space="preserve"> </w:t>
      </w:r>
      <w:proofErr w:type="spellStart"/>
      <w:r w:rsidRPr="00435066">
        <w:rPr>
          <w:rFonts w:asciiTheme="minorHAnsi" w:hAnsiTheme="minorHAnsi" w:cstheme="minorHAnsi"/>
          <w:sz w:val="22"/>
          <w:szCs w:val="22"/>
          <w:shd w:val="clear" w:color="auto" w:fill="FFFFFF"/>
        </w:rPr>
        <w:t>Buzurg-i</w:t>
      </w:r>
      <w:proofErr w:type="spellEnd"/>
      <w:r w:rsidRPr="00435066">
        <w:rPr>
          <w:rFonts w:asciiTheme="minorHAnsi" w:hAnsiTheme="minorHAnsi" w:cstheme="minorHAnsi"/>
          <w:sz w:val="22"/>
          <w:szCs w:val="22"/>
          <w:shd w:val="clear" w:color="auto" w:fill="FFFFFF"/>
        </w:rPr>
        <w:t xml:space="preserve"> </w:t>
      </w:r>
      <w:proofErr w:type="spellStart"/>
      <w:r w:rsidRPr="00435066">
        <w:rPr>
          <w:rFonts w:asciiTheme="minorHAnsi" w:hAnsiTheme="minorHAnsi" w:cstheme="minorHAnsi"/>
          <w:sz w:val="22"/>
          <w:szCs w:val="22"/>
          <w:shd w:val="clear" w:color="auto" w:fill="FFFFFF"/>
        </w:rPr>
        <w:t>Islāmī</w:t>
      </w:r>
      <w:proofErr w:type="spellEnd"/>
      <w:r w:rsidRPr="00435066">
        <w:rPr>
          <w:rFonts w:asciiTheme="minorHAnsi" w:hAnsiTheme="minorHAnsi" w:cstheme="minorHAnsi"/>
          <w:sz w:val="22"/>
          <w:szCs w:val="22"/>
          <w:shd w:val="clear" w:color="auto" w:fill="FFFFFF"/>
        </w:rPr>
        <w:t>)</w:t>
      </w:r>
    </w:p>
    <w:p w:rsidR="00EC6D21" w:rsidRPr="00435066" w:rsidRDefault="00EC6D21" w:rsidP="00EC6D21">
      <w:pPr>
        <w:pStyle w:val="ListParagraph"/>
        <w:numPr>
          <w:ilvl w:val="0"/>
          <w:numId w:val="9"/>
        </w:numPr>
        <w:ind w:right="-180"/>
        <w:rPr>
          <w:rFonts w:asciiTheme="minorHAnsi" w:hAnsiTheme="minorHAnsi" w:cstheme="minorHAnsi"/>
          <w:sz w:val="22"/>
          <w:szCs w:val="22"/>
        </w:rPr>
      </w:pPr>
      <w:r w:rsidRPr="00435066">
        <w:rPr>
          <w:rFonts w:asciiTheme="minorHAnsi" w:hAnsiTheme="minorHAnsi" w:cstheme="minorHAnsi"/>
          <w:sz w:val="22"/>
          <w:szCs w:val="22"/>
          <w:shd w:val="clear" w:color="auto" w:fill="FFFFFF"/>
        </w:rPr>
        <w:t>Oxford Islamic Studies Online</w:t>
      </w:r>
    </w:p>
    <w:p w:rsidR="00EC6D21" w:rsidRPr="00435066" w:rsidRDefault="00E550D8" w:rsidP="00EC6D21">
      <w:pPr>
        <w:pStyle w:val="ListParagraph"/>
        <w:numPr>
          <w:ilvl w:val="0"/>
          <w:numId w:val="9"/>
        </w:numPr>
        <w:ind w:right="-180"/>
        <w:rPr>
          <w:rFonts w:asciiTheme="minorHAnsi" w:hAnsiTheme="minorHAnsi" w:cstheme="minorHAnsi"/>
          <w:sz w:val="22"/>
          <w:szCs w:val="22"/>
        </w:rPr>
      </w:pPr>
      <w:hyperlink r:id="rId11" w:history="1">
        <w:r w:rsidR="00EC6D21" w:rsidRPr="00435066">
          <w:rPr>
            <w:rStyle w:val="Hyperlink"/>
            <w:rFonts w:asciiTheme="minorHAnsi" w:hAnsiTheme="minorHAnsi" w:cstheme="minorHAnsi"/>
            <w:color w:val="auto"/>
            <w:sz w:val="22"/>
            <w:szCs w:val="22"/>
            <w:u w:val="none"/>
          </w:rPr>
          <w:t>Encyclopedia of Islamic law: a compendium of the views of the major schools</w:t>
        </w:r>
      </w:hyperlink>
    </w:p>
    <w:p w:rsidR="00EC6D21" w:rsidRPr="00435066" w:rsidRDefault="00EC6D21" w:rsidP="00EC6D21">
      <w:pPr>
        <w:ind w:right="-180"/>
        <w:rPr>
          <w:rFonts w:cstheme="minorHAnsi"/>
        </w:rPr>
      </w:pPr>
    </w:p>
    <w:p w:rsidR="00EC6D21" w:rsidRPr="00435066" w:rsidRDefault="00EC6D21" w:rsidP="00EC6D21">
      <w:pPr>
        <w:ind w:left="720" w:right="-180" w:hanging="720"/>
        <w:rPr>
          <w:rFonts w:cstheme="minorHAnsi"/>
          <w:b/>
          <w:bCs/>
        </w:rPr>
      </w:pPr>
      <w:r w:rsidRPr="00435066">
        <w:rPr>
          <w:rFonts w:cstheme="minorHAnsi"/>
          <w:b/>
          <w:bCs/>
        </w:rPr>
        <w:t>Useful Websites</w:t>
      </w:r>
    </w:p>
    <w:p w:rsidR="00EC6D21" w:rsidRPr="00435066" w:rsidRDefault="00EC6D21" w:rsidP="00EC6D21">
      <w:pPr>
        <w:pStyle w:val="ListParagraph"/>
        <w:numPr>
          <w:ilvl w:val="0"/>
          <w:numId w:val="8"/>
        </w:numPr>
        <w:rPr>
          <w:rFonts w:asciiTheme="minorHAnsi" w:hAnsiTheme="minorHAnsi" w:cstheme="minorHAnsi"/>
          <w:sz w:val="22"/>
          <w:szCs w:val="22"/>
        </w:rPr>
      </w:pPr>
      <w:r w:rsidRPr="00435066">
        <w:rPr>
          <w:rFonts w:asciiTheme="minorHAnsi" w:hAnsiTheme="minorHAnsi" w:cstheme="minorHAnsi"/>
          <w:b/>
          <w:bCs/>
          <w:sz w:val="22"/>
          <w:szCs w:val="22"/>
          <w:shd w:val="clear" w:color="auto" w:fill="FFFFFF"/>
        </w:rPr>
        <w:t xml:space="preserve">Harvard University </w:t>
      </w:r>
      <w:proofErr w:type="spellStart"/>
      <w:r w:rsidRPr="00435066">
        <w:rPr>
          <w:rFonts w:asciiTheme="minorHAnsi" w:hAnsiTheme="minorHAnsi" w:cstheme="minorHAnsi"/>
          <w:b/>
          <w:bCs/>
          <w:sz w:val="22"/>
          <w:szCs w:val="22"/>
          <w:shd w:val="clear" w:color="auto" w:fill="FFFFFF"/>
        </w:rPr>
        <w:t>SHARIAsource</w:t>
      </w:r>
      <w:proofErr w:type="spellEnd"/>
      <w:r w:rsidRPr="00435066">
        <w:rPr>
          <w:rFonts w:asciiTheme="minorHAnsi" w:hAnsiTheme="minorHAnsi" w:cstheme="minorHAnsi"/>
          <w:sz w:val="22"/>
          <w:szCs w:val="22"/>
          <w:shd w:val="clear" w:color="auto" w:fill="FFFFFF"/>
        </w:rPr>
        <w:t xml:space="preserve"> Digital Islamic Law Collection : </w:t>
      </w:r>
      <w:hyperlink r:id="rId12" w:history="1">
        <w:proofErr w:type="spellStart"/>
        <w:r w:rsidRPr="00435066">
          <w:rPr>
            <w:rStyle w:val="Hyperlink"/>
            <w:rFonts w:asciiTheme="minorHAnsi" w:hAnsiTheme="minorHAnsi" w:cstheme="minorHAnsi"/>
            <w:color w:val="auto"/>
            <w:sz w:val="22"/>
            <w:szCs w:val="22"/>
          </w:rPr>
          <w:t>Airtable</w:t>
        </w:r>
        <w:proofErr w:type="spellEnd"/>
        <w:r w:rsidRPr="00435066">
          <w:rPr>
            <w:rStyle w:val="Hyperlink"/>
            <w:rFonts w:asciiTheme="minorHAnsi" w:hAnsiTheme="minorHAnsi" w:cstheme="minorHAnsi"/>
            <w:color w:val="auto"/>
            <w:sz w:val="22"/>
            <w:szCs w:val="22"/>
          </w:rPr>
          <w:t xml:space="preserve"> - </w:t>
        </w:r>
        <w:proofErr w:type="spellStart"/>
        <w:r w:rsidRPr="00435066">
          <w:rPr>
            <w:rStyle w:val="Hyperlink"/>
            <w:rFonts w:asciiTheme="minorHAnsi" w:hAnsiTheme="minorHAnsi" w:cstheme="minorHAnsi"/>
            <w:color w:val="auto"/>
            <w:sz w:val="22"/>
            <w:szCs w:val="22"/>
          </w:rPr>
          <w:t>SHARIAsource</w:t>
        </w:r>
        <w:proofErr w:type="spellEnd"/>
        <w:r w:rsidRPr="00435066">
          <w:rPr>
            <w:rStyle w:val="Hyperlink"/>
            <w:rFonts w:asciiTheme="minorHAnsi" w:hAnsiTheme="minorHAnsi" w:cstheme="minorHAnsi"/>
            <w:color w:val="auto"/>
            <w:sz w:val="22"/>
            <w:szCs w:val="22"/>
          </w:rPr>
          <w:t xml:space="preserve"> Digital Islamic Law Collection</w:t>
        </w:r>
      </w:hyperlink>
    </w:p>
    <w:p w:rsidR="00EC6D21" w:rsidRPr="00435066" w:rsidRDefault="00EC6D21" w:rsidP="00EC6D21">
      <w:pPr>
        <w:pStyle w:val="Title"/>
        <w:numPr>
          <w:ilvl w:val="0"/>
          <w:numId w:val="8"/>
        </w:numPr>
        <w:jc w:val="left"/>
        <w:rPr>
          <w:rFonts w:asciiTheme="minorHAnsi" w:hAnsiTheme="minorHAnsi" w:cstheme="minorHAnsi"/>
          <w:i/>
          <w:sz w:val="22"/>
          <w:szCs w:val="22"/>
        </w:rPr>
      </w:pPr>
      <w:r w:rsidRPr="00435066">
        <w:rPr>
          <w:rFonts w:asciiTheme="minorHAnsi" w:hAnsiTheme="minorHAnsi" w:cstheme="minorHAnsi"/>
          <w:sz w:val="22"/>
          <w:szCs w:val="22"/>
        </w:rPr>
        <w:t xml:space="preserve">Kuwait Ministry of </w:t>
      </w:r>
      <w:proofErr w:type="spellStart"/>
      <w:r w:rsidRPr="00435066">
        <w:rPr>
          <w:rFonts w:asciiTheme="minorHAnsi" w:hAnsiTheme="minorHAnsi" w:cstheme="minorHAnsi"/>
          <w:sz w:val="22"/>
          <w:szCs w:val="22"/>
        </w:rPr>
        <w:t>Awqaf</w:t>
      </w:r>
      <w:proofErr w:type="spellEnd"/>
      <w:r w:rsidRPr="00435066">
        <w:rPr>
          <w:rFonts w:asciiTheme="minorHAnsi" w:hAnsiTheme="minorHAnsi" w:cstheme="minorHAnsi"/>
          <w:sz w:val="22"/>
          <w:szCs w:val="22"/>
        </w:rPr>
        <w:t xml:space="preserve"> and Religious Affairs, </w:t>
      </w:r>
      <w:r w:rsidRPr="00435066">
        <w:rPr>
          <w:rFonts w:asciiTheme="minorHAnsi" w:hAnsiTheme="minorHAnsi" w:cstheme="minorHAnsi"/>
          <w:i/>
          <w:sz w:val="22"/>
          <w:szCs w:val="22"/>
        </w:rPr>
        <w:t>Al-</w:t>
      </w:r>
      <w:proofErr w:type="spellStart"/>
      <w:r w:rsidRPr="00435066">
        <w:rPr>
          <w:rFonts w:asciiTheme="minorHAnsi" w:hAnsiTheme="minorHAnsi" w:cstheme="minorHAnsi"/>
          <w:i/>
          <w:sz w:val="22"/>
          <w:szCs w:val="22"/>
        </w:rPr>
        <w:t>Mawsu`at</w:t>
      </w:r>
      <w:proofErr w:type="spellEnd"/>
      <w:r w:rsidRPr="00435066">
        <w:rPr>
          <w:rFonts w:asciiTheme="minorHAnsi" w:hAnsiTheme="minorHAnsi" w:cstheme="minorHAnsi"/>
          <w:i/>
          <w:sz w:val="22"/>
          <w:szCs w:val="22"/>
        </w:rPr>
        <w:t xml:space="preserve"> al-</w:t>
      </w:r>
      <w:proofErr w:type="spellStart"/>
      <w:r w:rsidRPr="00435066">
        <w:rPr>
          <w:rFonts w:asciiTheme="minorHAnsi" w:hAnsiTheme="minorHAnsi" w:cstheme="minorHAnsi"/>
          <w:i/>
          <w:sz w:val="22"/>
          <w:szCs w:val="22"/>
        </w:rPr>
        <w:t>Fiqhiyyah</w:t>
      </w:r>
      <w:proofErr w:type="spellEnd"/>
      <w:r w:rsidRPr="00435066">
        <w:rPr>
          <w:rFonts w:asciiTheme="minorHAnsi" w:hAnsiTheme="minorHAnsi" w:cstheme="minorHAnsi"/>
          <w:i/>
          <w:sz w:val="22"/>
          <w:szCs w:val="22"/>
        </w:rPr>
        <w:t xml:space="preserve">: </w:t>
      </w:r>
      <w:hyperlink r:id="rId13" w:history="1">
        <w:proofErr w:type="spellStart"/>
        <w:r w:rsidRPr="00435066">
          <w:rPr>
            <w:rStyle w:val="Hyperlink"/>
            <w:rFonts w:asciiTheme="minorHAnsi" w:hAnsiTheme="minorHAnsi" w:cstheme="minorHAnsi"/>
            <w:color w:val="auto"/>
            <w:sz w:val="22"/>
            <w:szCs w:val="22"/>
          </w:rPr>
          <w:t>FPmfkmfk</w:t>
        </w:r>
        <w:proofErr w:type="spellEnd"/>
        <w:r w:rsidRPr="00435066">
          <w:rPr>
            <w:rStyle w:val="Hyperlink"/>
            <w:rFonts w:asciiTheme="minorHAnsi" w:hAnsiTheme="minorHAnsi" w:cstheme="minorHAnsi"/>
            <w:color w:val="auto"/>
            <w:sz w:val="22"/>
            <w:szCs w:val="22"/>
          </w:rPr>
          <w:t xml:space="preserve"> : Free Download, Borrow, and Streaming : Internet Archive</w:t>
        </w:r>
      </w:hyperlink>
      <w:r w:rsidRPr="00435066">
        <w:rPr>
          <w:rFonts w:asciiTheme="minorHAnsi" w:hAnsiTheme="minorHAnsi" w:cstheme="minorHAnsi"/>
          <w:sz w:val="22"/>
          <w:szCs w:val="22"/>
        </w:rPr>
        <w:t xml:space="preserve"> </w:t>
      </w:r>
    </w:p>
    <w:p w:rsidR="00EC6D21" w:rsidRPr="00435066" w:rsidRDefault="00EC6D21" w:rsidP="00EC6D21">
      <w:pPr>
        <w:pStyle w:val="ListParagraph"/>
        <w:numPr>
          <w:ilvl w:val="0"/>
          <w:numId w:val="8"/>
        </w:numPr>
        <w:rPr>
          <w:rFonts w:asciiTheme="minorHAnsi" w:hAnsiTheme="minorHAnsi" w:cstheme="minorHAnsi"/>
          <w:sz w:val="22"/>
          <w:szCs w:val="22"/>
        </w:rPr>
      </w:pPr>
      <w:r w:rsidRPr="00435066">
        <w:rPr>
          <w:rFonts w:asciiTheme="minorHAnsi" w:hAnsiTheme="minorHAnsi" w:cstheme="minorHAnsi"/>
          <w:sz w:val="22"/>
          <w:szCs w:val="22"/>
        </w:rPr>
        <w:t xml:space="preserve">Islamic Medical and Scientific Ethics Project at Georgetown: </w:t>
      </w:r>
      <w:hyperlink r:id="rId14" w:history="1">
        <w:r w:rsidRPr="00435066">
          <w:rPr>
            <w:rStyle w:val="Hyperlink"/>
            <w:rFonts w:asciiTheme="minorHAnsi" w:hAnsiTheme="minorHAnsi" w:cstheme="minorHAnsi"/>
            <w:color w:val="auto"/>
            <w:sz w:val="22"/>
            <w:szCs w:val="22"/>
          </w:rPr>
          <w:t>https://guides.library.georgetown.edu/imse</w:t>
        </w:r>
      </w:hyperlink>
      <w:r w:rsidRPr="00435066">
        <w:rPr>
          <w:rFonts w:asciiTheme="minorHAnsi" w:hAnsiTheme="minorHAnsi" w:cstheme="minorHAnsi"/>
          <w:sz w:val="22"/>
          <w:szCs w:val="22"/>
        </w:rPr>
        <w:t xml:space="preserve"> </w:t>
      </w:r>
    </w:p>
    <w:p w:rsidR="00EC6D21" w:rsidRPr="00435066" w:rsidRDefault="00EC6D21" w:rsidP="00EC6D21">
      <w:pPr>
        <w:ind w:left="720" w:right="-180" w:hanging="720"/>
        <w:rPr>
          <w:rFonts w:cstheme="minorHAnsi"/>
        </w:rPr>
      </w:pPr>
    </w:p>
    <w:p w:rsidR="00EC6D21" w:rsidRPr="00435066" w:rsidRDefault="00EC6D21" w:rsidP="00EC6D21">
      <w:pPr>
        <w:ind w:left="720" w:right="-180" w:hanging="720"/>
        <w:rPr>
          <w:rFonts w:cstheme="minorHAnsi"/>
        </w:rPr>
      </w:pPr>
    </w:p>
    <w:p w:rsidR="00EC6D21" w:rsidRPr="00435066" w:rsidRDefault="00EC6D21" w:rsidP="00EC6D21">
      <w:pPr>
        <w:ind w:left="720" w:right="-180" w:hanging="720"/>
        <w:rPr>
          <w:rFonts w:cstheme="minorHAnsi"/>
        </w:rPr>
      </w:pPr>
    </w:p>
    <w:p w:rsidR="00EC6D21" w:rsidRPr="00435066" w:rsidRDefault="00EC6D21" w:rsidP="00EC6D21">
      <w:pPr>
        <w:ind w:left="720" w:right="-180" w:hanging="720"/>
        <w:rPr>
          <w:rFonts w:cstheme="minorHAnsi"/>
        </w:rPr>
      </w:pPr>
    </w:p>
    <w:p w:rsidR="00EC6D21" w:rsidRPr="00435066" w:rsidRDefault="00EC6D21" w:rsidP="00EC6D21">
      <w:pPr>
        <w:ind w:left="720" w:right="-180" w:hanging="720"/>
        <w:rPr>
          <w:rFonts w:cstheme="minorHAnsi"/>
        </w:rPr>
      </w:pPr>
    </w:p>
    <w:p w:rsidR="00EC6D21" w:rsidRPr="00435066" w:rsidRDefault="00EC6D21" w:rsidP="00EC6D21">
      <w:pPr>
        <w:ind w:left="720" w:right="-180" w:hanging="720"/>
        <w:rPr>
          <w:rFonts w:cstheme="minorHAnsi"/>
        </w:rPr>
      </w:pPr>
    </w:p>
    <w:p w:rsidR="00EC6D21" w:rsidRPr="00435066" w:rsidRDefault="00EC6D21" w:rsidP="00EC6D21">
      <w:pPr>
        <w:rPr>
          <w:rFonts w:cstheme="minorHAnsi"/>
        </w:rPr>
      </w:pPr>
      <w:r w:rsidRPr="00435066">
        <w:rPr>
          <w:rFonts w:cstheme="minorHAnsi"/>
          <w:b/>
          <w:bCs/>
        </w:rPr>
        <w:br w:type="page"/>
      </w:r>
    </w:p>
    <w:p w:rsidR="00EC6D21" w:rsidRPr="00435066" w:rsidRDefault="00EC6D21" w:rsidP="00EC6D21">
      <w:pPr>
        <w:rPr>
          <w:rFonts w:cstheme="minorHAnsi"/>
        </w:rPr>
      </w:pPr>
    </w:p>
    <w:p w:rsidR="00EC6D21" w:rsidRPr="00435066" w:rsidRDefault="00EC6D21" w:rsidP="00EC6D21">
      <w:pPr>
        <w:rPr>
          <w:rFonts w:cstheme="minorHAnsi"/>
          <w:b/>
          <w:bCs/>
        </w:rPr>
      </w:pPr>
      <w:r w:rsidRPr="00435066">
        <w:rPr>
          <w:rFonts w:cstheme="minorHAnsi"/>
          <w:b/>
          <w:bCs/>
        </w:rPr>
        <w:t>Additional Statements:</w:t>
      </w:r>
    </w:p>
    <w:p w:rsidR="00EC6D21" w:rsidRPr="00435066" w:rsidRDefault="00EC6D21" w:rsidP="00EC6D21">
      <w:pPr>
        <w:rPr>
          <w:rFonts w:cstheme="minorHAnsi"/>
          <w:b/>
          <w:bCs/>
        </w:rPr>
      </w:pPr>
    </w:p>
    <w:p w:rsidR="00EC6D21" w:rsidRPr="00435066" w:rsidRDefault="00EC6D21" w:rsidP="00EC6D21">
      <w:pPr>
        <w:pStyle w:val="xmsonormal"/>
        <w:rPr>
          <w:rFonts w:asciiTheme="minorHAnsi" w:hAnsiTheme="minorHAnsi" w:cstheme="minorHAnsi"/>
          <w:sz w:val="22"/>
          <w:szCs w:val="22"/>
          <w:lang w:val="en-CA"/>
        </w:rPr>
      </w:pPr>
      <w:r w:rsidRPr="00435066">
        <w:rPr>
          <w:rFonts w:asciiTheme="minorHAnsi" w:hAnsiTheme="minorHAnsi" w:cstheme="minorHAnsi"/>
          <w:b/>
          <w:bCs/>
          <w:sz w:val="22"/>
          <w:szCs w:val="22"/>
          <w:lang w:val="en-CA"/>
        </w:rPr>
        <w:t>Course delivery with respect to the COVID-19 pandemic</w:t>
      </w:r>
    </w:p>
    <w:p w:rsidR="00EC6D21" w:rsidRPr="00435066" w:rsidRDefault="00EC6D21" w:rsidP="00EC6D21">
      <w:pPr>
        <w:pStyle w:val="xmsonormal"/>
        <w:rPr>
          <w:rFonts w:asciiTheme="minorHAnsi" w:hAnsiTheme="minorHAnsi" w:cstheme="minorHAnsi"/>
          <w:sz w:val="22"/>
          <w:szCs w:val="22"/>
          <w:lang w:val="en-CA"/>
        </w:rPr>
      </w:pPr>
      <w:r w:rsidRPr="00435066">
        <w:rPr>
          <w:rFonts w:asciiTheme="minorHAnsi" w:hAnsiTheme="minorHAnsi" w:cstheme="minorHAnsi"/>
          <w:sz w:val="22"/>
          <w:szCs w:val="22"/>
          <w:lang w:val="en-CA"/>
        </w:rPr>
        <w:t>Although the intent is for this course to be delivered in-person, the changing COVID-19 landscape may necessitate some or all of the course to be delivered online, either synchronously (i.e., at the times indicated in the timetable) or asynchronously (e.g., posted on OWL for students to view at their convenience).  The grading scheme will not change.  Any assessments affected will be conducted online as determined by the course instructor.</w:t>
      </w:r>
    </w:p>
    <w:p w:rsidR="00EC6D21" w:rsidRPr="00435066" w:rsidRDefault="00EC6D21" w:rsidP="00EC6D21">
      <w:pPr>
        <w:rPr>
          <w:rFonts w:cstheme="minorHAnsi"/>
          <w:b/>
          <w:bCs/>
          <w:lang w:val="en-CA"/>
        </w:rPr>
      </w:pPr>
    </w:p>
    <w:p w:rsidR="00EC6D21" w:rsidRPr="00435066" w:rsidRDefault="00EC6D21" w:rsidP="00EC6D21">
      <w:pPr>
        <w:rPr>
          <w:rFonts w:cstheme="minorHAnsi"/>
          <w:b/>
          <w:bCs/>
        </w:rPr>
      </w:pPr>
    </w:p>
    <w:p w:rsidR="00EC6D21" w:rsidRPr="00435066" w:rsidRDefault="00EC6D21" w:rsidP="00EC6D21">
      <w:pPr>
        <w:numPr>
          <w:ilvl w:val="0"/>
          <w:numId w:val="2"/>
        </w:numPr>
        <w:rPr>
          <w:rFonts w:cstheme="minorHAnsi"/>
          <w:b/>
          <w:bCs/>
        </w:rPr>
      </w:pPr>
      <w:r w:rsidRPr="00435066">
        <w:rPr>
          <w:rFonts w:cstheme="minorHAnsi"/>
          <w:b/>
          <w:bCs/>
        </w:rPr>
        <w:t xml:space="preserve">Statement on Use of Electronic Devices during Tests and Exams  </w:t>
      </w:r>
    </w:p>
    <w:p w:rsidR="00EC6D21" w:rsidRPr="00435066" w:rsidRDefault="00EC6D21" w:rsidP="00EC6D21">
      <w:pPr>
        <w:autoSpaceDE w:val="0"/>
        <w:autoSpaceDN w:val="0"/>
        <w:adjustRightInd w:val="0"/>
        <w:ind w:left="390"/>
        <w:rPr>
          <w:rFonts w:cstheme="minorHAnsi"/>
        </w:rPr>
      </w:pPr>
      <w:r w:rsidRPr="00435066">
        <w:rPr>
          <w:rFonts w:cstheme="minorHAnsi"/>
        </w:rPr>
        <w:t>It is not appropriate to use technology (such as, but not limited, to laptops, PDAs, cell phones) in the classroom for non-classroom activities.  Such activity is disruptive and is distracting to other students and to the instructor and can inhibit learning.  Students are expected to respect the classroom environment and to refrain from inappropriate use of technology and other electronic devices in class.</w:t>
      </w:r>
    </w:p>
    <w:p w:rsidR="00EC6D21" w:rsidRPr="00435066" w:rsidRDefault="00EC6D21" w:rsidP="00EC6D21">
      <w:pPr>
        <w:rPr>
          <w:rFonts w:cstheme="minorHAnsi"/>
        </w:rPr>
      </w:pPr>
    </w:p>
    <w:p w:rsidR="00EC6D21" w:rsidRPr="00435066" w:rsidRDefault="00EC6D21" w:rsidP="00EC6D21">
      <w:pPr>
        <w:numPr>
          <w:ilvl w:val="0"/>
          <w:numId w:val="2"/>
        </w:numPr>
        <w:rPr>
          <w:rFonts w:cstheme="minorHAnsi"/>
        </w:rPr>
      </w:pPr>
      <w:r w:rsidRPr="00435066">
        <w:rPr>
          <w:rFonts w:cstheme="minorHAnsi"/>
          <w:b/>
          <w:bCs/>
        </w:rPr>
        <w:t xml:space="preserve">Statement on Academic Offences:  </w:t>
      </w:r>
      <w:r w:rsidRPr="00435066">
        <w:rPr>
          <w:rFonts w:cstheme="minorHAnsi"/>
        </w:rPr>
        <w:t>Scholastic offences are taken seriously and students are directed to read the appropriate policy, specifically, the definition of what constitutes a Scholastic Offence, at the following web site:  http://www.westerncalendar.uwo.ca/2014/pg113.html.</w:t>
      </w:r>
    </w:p>
    <w:p w:rsidR="00EC6D21" w:rsidRPr="00435066" w:rsidRDefault="00EC6D21" w:rsidP="00EC6D21">
      <w:pPr>
        <w:rPr>
          <w:rFonts w:cstheme="minorHAnsi"/>
        </w:rPr>
      </w:pPr>
    </w:p>
    <w:p w:rsidR="00EC6D21" w:rsidRPr="00435066" w:rsidRDefault="00EC6D21" w:rsidP="00EC6D21">
      <w:pPr>
        <w:numPr>
          <w:ilvl w:val="0"/>
          <w:numId w:val="2"/>
        </w:numPr>
        <w:rPr>
          <w:rFonts w:cstheme="minorHAnsi"/>
          <w:b/>
          <w:bCs/>
          <w:i/>
        </w:rPr>
      </w:pPr>
      <w:r w:rsidRPr="00435066">
        <w:rPr>
          <w:rFonts w:cstheme="minorHAnsi"/>
          <w:b/>
          <w:bCs/>
        </w:rPr>
        <w:t>Plagiarism-detecting Software/Computer Marking:</w:t>
      </w:r>
    </w:p>
    <w:p w:rsidR="00EC6D21" w:rsidRPr="00435066" w:rsidRDefault="00EC6D21" w:rsidP="00EC6D21">
      <w:pPr>
        <w:numPr>
          <w:ilvl w:val="0"/>
          <w:numId w:val="4"/>
        </w:numPr>
        <w:autoSpaceDE w:val="0"/>
        <w:autoSpaceDN w:val="0"/>
        <w:adjustRightInd w:val="0"/>
        <w:rPr>
          <w:rFonts w:cstheme="minorHAnsi"/>
        </w:rPr>
      </w:pPr>
      <w:r w:rsidRPr="00435066">
        <w:rPr>
          <w:rFonts w:cstheme="minorHAnsi"/>
        </w:rPr>
        <w:t xml:space="preserve"> All required papers may be subject to submission for textual similarity review to the</w:t>
      </w:r>
    </w:p>
    <w:p w:rsidR="00EC6D21" w:rsidRPr="00435066" w:rsidRDefault="00EC6D21" w:rsidP="00EC6D21">
      <w:pPr>
        <w:autoSpaceDE w:val="0"/>
        <w:autoSpaceDN w:val="0"/>
        <w:adjustRightInd w:val="0"/>
        <w:ind w:left="390"/>
        <w:rPr>
          <w:rFonts w:cstheme="minorHAnsi"/>
        </w:rPr>
      </w:pPr>
      <w:r w:rsidRPr="00435066">
        <w:rPr>
          <w:rFonts w:cstheme="minorHAnsi"/>
        </w:rPr>
        <w:t>commercial plagiarism detection software under license to the University for the detection</w:t>
      </w:r>
    </w:p>
    <w:p w:rsidR="00EC6D21" w:rsidRPr="00435066" w:rsidRDefault="00EC6D21" w:rsidP="00EC6D21">
      <w:pPr>
        <w:autoSpaceDE w:val="0"/>
        <w:autoSpaceDN w:val="0"/>
        <w:adjustRightInd w:val="0"/>
        <w:ind w:left="390"/>
        <w:rPr>
          <w:rFonts w:cstheme="minorHAnsi"/>
        </w:rPr>
      </w:pPr>
      <w:r w:rsidRPr="00435066">
        <w:rPr>
          <w:rFonts w:cstheme="minorHAnsi"/>
        </w:rPr>
        <w:t>of plagiarism. All papers submitted for such checking will be included as source documents</w:t>
      </w:r>
    </w:p>
    <w:p w:rsidR="00EC6D21" w:rsidRPr="00435066" w:rsidRDefault="00EC6D21" w:rsidP="00EC6D21">
      <w:pPr>
        <w:autoSpaceDE w:val="0"/>
        <w:autoSpaceDN w:val="0"/>
        <w:adjustRightInd w:val="0"/>
        <w:ind w:left="390"/>
        <w:rPr>
          <w:rFonts w:cstheme="minorHAnsi"/>
        </w:rPr>
      </w:pPr>
      <w:r w:rsidRPr="00435066">
        <w:rPr>
          <w:rFonts w:cstheme="minorHAnsi"/>
        </w:rPr>
        <w:t>in the reference database for the purpose of detecting plagiarism of papers subsequently</w:t>
      </w:r>
    </w:p>
    <w:p w:rsidR="00EC6D21" w:rsidRPr="00435066" w:rsidRDefault="00EC6D21" w:rsidP="00EC6D21">
      <w:pPr>
        <w:autoSpaceDE w:val="0"/>
        <w:autoSpaceDN w:val="0"/>
        <w:adjustRightInd w:val="0"/>
        <w:ind w:left="390"/>
        <w:rPr>
          <w:rFonts w:cstheme="minorHAnsi"/>
        </w:rPr>
      </w:pPr>
      <w:r w:rsidRPr="00435066">
        <w:rPr>
          <w:rFonts w:cstheme="minorHAnsi"/>
        </w:rPr>
        <w:t>submitted to the system. Use of the service is subject to the licensing agreement, currently</w:t>
      </w:r>
    </w:p>
    <w:p w:rsidR="00EC6D21" w:rsidRPr="00435066" w:rsidRDefault="00EC6D21" w:rsidP="00EC6D21">
      <w:pPr>
        <w:autoSpaceDE w:val="0"/>
        <w:autoSpaceDN w:val="0"/>
        <w:adjustRightInd w:val="0"/>
        <w:ind w:left="390"/>
        <w:rPr>
          <w:rFonts w:cstheme="minorHAnsi"/>
        </w:rPr>
      </w:pPr>
      <w:r w:rsidRPr="00435066">
        <w:rPr>
          <w:rFonts w:cstheme="minorHAnsi"/>
        </w:rPr>
        <w:t xml:space="preserve">between The University of Western Ontario and Turnitin.com </w:t>
      </w:r>
      <w:proofErr w:type="gramStart"/>
      <w:r w:rsidRPr="00435066">
        <w:rPr>
          <w:rFonts w:cstheme="minorHAnsi"/>
        </w:rPr>
        <w:t>( http://www.turnitin.com</w:t>
      </w:r>
      <w:proofErr w:type="gramEnd"/>
      <w:r w:rsidRPr="00435066">
        <w:rPr>
          <w:rFonts w:cstheme="minorHAnsi"/>
        </w:rPr>
        <w:t xml:space="preserve"> ).</w:t>
      </w:r>
    </w:p>
    <w:p w:rsidR="00EC6D21" w:rsidRPr="00435066" w:rsidRDefault="00EC6D21" w:rsidP="00EC6D21">
      <w:pPr>
        <w:rPr>
          <w:rFonts w:cstheme="minorHAnsi"/>
        </w:rPr>
      </w:pPr>
    </w:p>
    <w:p w:rsidR="00EC6D21" w:rsidRPr="00435066" w:rsidRDefault="00EC6D21" w:rsidP="00EC6D21">
      <w:pPr>
        <w:numPr>
          <w:ilvl w:val="0"/>
          <w:numId w:val="2"/>
        </w:numPr>
        <w:rPr>
          <w:rFonts w:cstheme="minorHAnsi"/>
          <w:b/>
          <w:bCs/>
        </w:rPr>
      </w:pPr>
      <w:r w:rsidRPr="00435066">
        <w:rPr>
          <w:rFonts w:cstheme="minorHAnsi"/>
          <w:b/>
          <w:bCs/>
        </w:rPr>
        <w:t xml:space="preserve">Support Services:  </w:t>
      </w:r>
    </w:p>
    <w:p w:rsidR="00EC6D21" w:rsidRPr="00435066" w:rsidRDefault="00EC6D21" w:rsidP="00EC6D21">
      <w:pPr>
        <w:ind w:left="390"/>
        <w:rPr>
          <w:rFonts w:cstheme="minorHAnsi"/>
        </w:rPr>
      </w:pPr>
    </w:p>
    <w:p w:rsidR="00EC6D21" w:rsidRPr="00435066" w:rsidRDefault="00EC6D21" w:rsidP="00EC6D21">
      <w:pPr>
        <w:numPr>
          <w:ilvl w:val="0"/>
          <w:numId w:val="3"/>
        </w:numPr>
        <w:rPr>
          <w:rFonts w:cstheme="minorHAnsi"/>
        </w:rPr>
      </w:pPr>
      <w:r w:rsidRPr="00435066">
        <w:rPr>
          <w:rFonts w:cstheme="minorHAnsi"/>
        </w:rPr>
        <w:t xml:space="preserve">Huron’s Faculty of Theology, Office of the Dean: </w:t>
      </w:r>
      <w:hyperlink r:id="rId15" w:history="1">
        <w:r w:rsidRPr="00435066">
          <w:rPr>
            <w:rStyle w:val="Hyperlink"/>
            <w:rFonts w:cstheme="minorHAnsi"/>
            <w:color w:val="auto"/>
          </w:rPr>
          <w:t>http://www.huronuc.on.ca</w:t>
        </w:r>
      </w:hyperlink>
      <w:r w:rsidRPr="00435066">
        <w:rPr>
          <w:rFonts w:cstheme="minorHAnsi"/>
        </w:rPr>
        <w:t xml:space="preserve"> &gt; Theology </w:t>
      </w:r>
    </w:p>
    <w:p w:rsidR="00EC6D21" w:rsidRPr="00435066" w:rsidRDefault="00EC6D21" w:rsidP="00EC6D21">
      <w:pPr>
        <w:numPr>
          <w:ilvl w:val="0"/>
          <w:numId w:val="3"/>
        </w:numPr>
        <w:rPr>
          <w:rFonts w:cstheme="minorHAnsi"/>
        </w:rPr>
      </w:pPr>
      <w:r w:rsidRPr="00435066">
        <w:rPr>
          <w:rFonts w:cstheme="minorHAnsi"/>
        </w:rPr>
        <w:t>Faculty of Theology office:  srice@uwo.ca, 519-438-7224, ext. 289</w:t>
      </w:r>
    </w:p>
    <w:p w:rsidR="00EC6D21" w:rsidRPr="00435066" w:rsidRDefault="00EC6D21" w:rsidP="00EC6D21">
      <w:pPr>
        <w:numPr>
          <w:ilvl w:val="0"/>
          <w:numId w:val="3"/>
        </w:numPr>
        <w:rPr>
          <w:rFonts w:cstheme="minorHAnsi"/>
        </w:rPr>
      </w:pPr>
      <w:r w:rsidRPr="00435066">
        <w:rPr>
          <w:rFonts w:cstheme="minorHAnsi"/>
        </w:rPr>
        <w:t>Bachelor’s Academic Advising at Huron: https://huronuc.ca/index.php/academic-advising</w:t>
      </w:r>
    </w:p>
    <w:p w:rsidR="00EC6D21" w:rsidRPr="00435066" w:rsidRDefault="00EC6D21" w:rsidP="00EC6D21">
      <w:pPr>
        <w:numPr>
          <w:ilvl w:val="0"/>
          <w:numId w:val="3"/>
        </w:numPr>
        <w:rPr>
          <w:rStyle w:val="Hyperlink"/>
          <w:rFonts w:cstheme="minorHAnsi"/>
          <w:color w:val="auto"/>
        </w:rPr>
      </w:pPr>
      <w:r w:rsidRPr="00435066">
        <w:rPr>
          <w:rFonts w:cstheme="minorHAnsi"/>
        </w:rPr>
        <w:t xml:space="preserve">Huron’s Writing Skills Centre: </w:t>
      </w:r>
      <w:r w:rsidRPr="00435066">
        <w:rPr>
          <w:rFonts w:cstheme="minorHAnsi"/>
          <w:lang w:val="en-CA"/>
        </w:rPr>
        <w:fldChar w:fldCharType="begin"/>
      </w:r>
      <w:r w:rsidRPr="00435066">
        <w:rPr>
          <w:rFonts w:cstheme="minorHAnsi"/>
        </w:rPr>
        <w:instrText xml:space="preserve"> HYPERLINK "https://huronuc.ca/index.php/library/writing-services" </w:instrText>
      </w:r>
      <w:r w:rsidRPr="00435066">
        <w:rPr>
          <w:rFonts w:cstheme="minorHAnsi"/>
          <w:lang w:val="en-CA"/>
        </w:rPr>
        <w:fldChar w:fldCharType="separate"/>
      </w:r>
      <w:r w:rsidRPr="00435066">
        <w:rPr>
          <w:rStyle w:val="Hyperlink"/>
          <w:rFonts w:cstheme="minorHAnsi"/>
          <w:color w:val="auto"/>
        </w:rPr>
        <w:t>http://www.huronuc.on.ca/student_life/writing_services</w:t>
      </w:r>
    </w:p>
    <w:p w:rsidR="00EC6D21" w:rsidRPr="00435066" w:rsidRDefault="00EC6D21" w:rsidP="00EC6D21">
      <w:pPr>
        <w:pStyle w:val="ListParagraph"/>
        <w:numPr>
          <w:ilvl w:val="0"/>
          <w:numId w:val="13"/>
        </w:numPr>
        <w:rPr>
          <w:rFonts w:asciiTheme="minorHAnsi" w:hAnsiTheme="minorHAnsi" w:cstheme="minorHAnsi"/>
          <w:sz w:val="22"/>
          <w:szCs w:val="22"/>
        </w:rPr>
      </w:pPr>
      <w:r w:rsidRPr="00435066">
        <w:rPr>
          <w:rFonts w:asciiTheme="minorHAnsi" w:hAnsiTheme="minorHAnsi" w:cstheme="minorHAnsi"/>
          <w:sz w:val="22"/>
          <w:szCs w:val="22"/>
        </w:rPr>
        <w:fldChar w:fldCharType="end"/>
      </w:r>
      <w:r w:rsidRPr="00435066">
        <w:rPr>
          <w:rFonts w:asciiTheme="minorHAnsi" w:hAnsiTheme="minorHAnsi" w:cstheme="minorHAnsi"/>
          <w:sz w:val="22"/>
          <w:szCs w:val="22"/>
        </w:rPr>
        <w:t xml:space="preserve">Mental </w:t>
      </w:r>
      <w:proofErr w:type="spellStart"/>
      <w:r w:rsidRPr="00435066">
        <w:rPr>
          <w:rFonts w:asciiTheme="minorHAnsi" w:hAnsiTheme="minorHAnsi" w:cstheme="minorHAnsi"/>
          <w:sz w:val="22"/>
          <w:szCs w:val="22"/>
        </w:rPr>
        <w:t>Health@Western</w:t>
      </w:r>
      <w:proofErr w:type="spellEnd"/>
      <w:r w:rsidRPr="00435066">
        <w:rPr>
          <w:rFonts w:asciiTheme="minorHAnsi" w:hAnsiTheme="minorHAnsi" w:cstheme="minorHAnsi"/>
          <w:sz w:val="22"/>
          <w:szCs w:val="22"/>
        </w:rPr>
        <w:t xml:space="preserve">:  </w:t>
      </w:r>
      <w:hyperlink r:id="rId16" w:history="1">
        <w:r w:rsidRPr="00435066">
          <w:rPr>
            <w:rStyle w:val="Hyperlink"/>
            <w:rFonts w:asciiTheme="minorHAnsi" w:hAnsiTheme="minorHAnsi" w:cstheme="minorHAnsi"/>
            <w:color w:val="auto"/>
            <w:sz w:val="22"/>
            <w:szCs w:val="22"/>
          </w:rPr>
          <w:t>http://www.uwo.ca/uwocom/mentalhealth/</w:t>
        </w:r>
      </w:hyperlink>
      <w:r w:rsidRPr="00435066">
        <w:rPr>
          <w:rFonts w:asciiTheme="minorHAnsi" w:hAnsiTheme="minorHAnsi" w:cstheme="minorHAnsi"/>
          <w:sz w:val="22"/>
          <w:szCs w:val="22"/>
        </w:rPr>
        <w:t xml:space="preserve">  Students who are in emotional/mental distress should refer to this website for a complete list of options about how to obtain help.</w:t>
      </w:r>
    </w:p>
    <w:p w:rsidR="00EC6D21" w:rsidRPr="00435066" w:rsidRDefault="00EC6D21" w:rsidP="00EC6D21">
      <w:pPr>
        <w:pStyle w:val="ListParagraph"/>
        <w:numPr>
          <w:ilvl w:val="0"/>
          <w:numId w:val="3"/>
        </w:numPr>
        <w:rPr>
          <w:rFonts w:asciiTheme="minorHAnsi" w:hAnsiTheme="minorHAnsi" w:cstheme="minorHAnsi"/>
          <w:sz w:val="22"/>
          <w:szCs w:val="22"/>
        </w:rPr>
      </w:pPr>
      <w:r w:rsidRPr="00435066">
        <w:rPr>
          <w:rFonts w:asciiTheme="minorHAnsi" w:hAnsiTheme="minorHAnsi" w:cstheme="minorHAnsi"/>
          <w:sz w:val="22"/>
          <w:szCs w:val="22"/>
        </w:rPr>
        <w:t>Student Accessibility Services</w:t>
      </w:r>
    </w:p>
    <w:p w:rsidR="00EC6D21" w:rsidRPr="00435066" w:rsidRDefault="00EC6D21" w:rsidP="00EC6D21">
      <w:pPr>
        <w:pStyle w:val="ListParagraph"/>
        <w:rPr>
          <w:rFonts w:asciiTheme="minorHAnsi" w:hAnsiTheme="minorHAnsi" w:cstheme="minorHAnsi"/>
          <w:sz w:val="22"/>
          <w:szCs w:val="22"/>
        </w:rPr>
      </w:pPr>
      <w:r w:rsidRPr="00435066">
        <w:rPr>
          <w:rFonts w:asciiTheme="minorHAnsi" w:hAnsiTheme="minorHAnsi" w:cstheme="minorHAnsi"/>
          <w:sz w:val="22"/>
          <w:szCs w:val="22"/>
        </w:rPr>
        <w:t>Western is committed to achieving barrier-free accessibility for all its members, including graduate students. As part of this commitment, Western provides a variety of services devoted to promoting, advocating, and accommodating persons with disabilities in their respective graduate program.</w:t>
      </w:r>
    </w:p>
    <w:p w:rsidR="00EC6D21" w:rsidRPr="00435066" w:rsidRDefault="00EC6D21" w:rsidP="00EC6D21">
      <w:pPr>
        <w:pStyle w:val="ListParagraph"/>
        <w:numPr>
          <w:ilvl w:val="0"/>
          <w:numId w:val="13"/>
        </w:numPr>
        <w:rPr>
          <w:rFonts w:asciiTheme="minorHAnsi" w:hAnsiTheme="minorHAnsi" w:cstheme="minorHAnsi"/>
          <w:sz w:val="22"/>
          <w:szCs w:val="22"/>
        </w:rPr>
      </w:pPr>
      <w:r w:rsidRPr="00435066">
        <w:rPr>
          <w:rFonts w:asciiTheme="minorHAnsi" w:hAnsiTheme="minorHAnsi" w:cstheme="minorHAnsi"/>
          <w:sz w:val="22"/>
          <w:szCs w:val="22"/>
        </w:rPr>
        <w:t xml:space="preserve">Students with disabilities (for example, chronic illnesses, mental health conditions, mobility impairments) are encouraged to register with Student Accessibility Services, a confidential service designed to support graduate and undergraduate students through their academic program. With the appropriate documentation, the student will work with both SAS and their faculty (normally their Dean and/or Course instructor) to ensure that appropriate academic accommodations to program requirements are arranged.  </w:t>
      </w:r>
    </w:p>
    <w:p w:rsidR="00EC6D21" w:rsidRPr="00435066" w:rsidRDefault="00EC6D21" w:rsidP="00EC6D21">
      <w:pPr>
        <w:numPr>
          <w:ilvl w:val="0"/>
          <w:numId w:val="3"/>
        </w:numPr>
        <w:rPr>
          <w:rFonts w:cstheme="minorHAnsi"/>
        </w:rPr>
      </w:pPr>
      <w:r w:rsidRPr="00435066">
        <w:rPr>
          <w:rFonts w:cstheme="minorHAnsi"/>
        </w:rPr>
        <w:t>Services provided by Western University Student Council:  http://westernusc.ca/your-services/</w:t>
      </w:r>
    </w:p>
    <w:p w:rsidR="00EC6D21" w:rsidRPr="00435066" w:rsidRDefault="00EC6D21" w:rsidP="00EC6D21">
      <w:pPr>
        <w:rPr>
          <w:rFonts w:cstheme="minorHAnsi"/>
        </w:rPr>
      </w:pPr>
    </w:p>
    <w:p w:rsidR="00EC6D21" w:rsidRPr="00435066" w:rsidRDefault="00EC6D21" w:rsidP="00EC6D21">
      <w:pPr>
        <w:numPr>
          <w:ilvl w:val="0"/>
          <w:numId w:val="2"/>
        </w:numPr>
        <w:autoSpaceDE w:val="0"/>
        <w:autoSpaceDN w:val="0"/>
        <w:adjustRightInd w:val="0"/>
        <w:rPr>
          <w:rFonts w:cstheme="minorHAnsi"/>
          <w:b/>
        </w:rPr>
      </w:pPr>
      <w:r w:rsidRPr="00435066">
        <w:rPr>
          <w:rFonts w:cstheme="minorHAnsi"/>
          <w:b/>
        </w:rPr>
        <w:lastRenderedPageBreak/>
        <w:t>Academic Accommodation for Absences:</w:t>
      </w:r>
    </w:p>
    <w:p w:rsidR="00EC6D21" w:rsidRPr="00435066" w:rsidRDefault="00EC6D21" w:rsidP="00EC6D21">
      <w:pPr>
        <w:autoSpaceDE w:val="0"/>
        <w:autoSpaceDN w:val="0"/>
        <w:adjustRightInd w:val="0"/>
        <w:ind w:left="720"/>
        <w:rPr>
          <w:rFonts w:cstheme="minorHAnsi"/>
          <w:i/>
        </w:rPr>
      </w:pPr>
      <w:r w:rsidRPr="00435066">
        <w:rPr>
          <w:rFonts w:cstheme="minorHAnsi"/>
          <w:i/>
        </w:rPr>
        <w:t>New pilot policy, as of September 1, 2019 (</w:t>
      </w:r>
      <w:hyperlink r:id="rId17" w:history="1">
        <w:r w:rsidRPr="00435066">
          <w:rPr>
            <w:rFonts w:cstheme="minorHAnsi"/>
            <w:i/>
          </w:rPr>
          <w:t>complete details here</w:t>
        </w:r>
      </w:hyperlink>
      <w:r w:rsidRPr="00435066">
        <w:rPr>
          <w:rFonts w:cstheme="minorHAnsi"/>
          <w:i/>
        </w:rPr>
        <w:t>)</w:t>
      </w:r>
      <w:r w:rsidRPr="00435066">
        <w:rPr>
          <w:rFonts w:cstheme="minorHAnsi"/>
          <w:i/>
        </w:rPr>
        <w:br/>
        <w:t xml:space="preserve">Student Medical Certificate can be found here, if required:   </w:t>
      </w:r>
      <w:r w:rsidRPr="00435066">
        <w:rPr>
          <w:rFonts w:cstheme="minorHAnsi"/>
          <w:i/>
        </w:rPr>
        <w:br/>
        <w:t xml:space="preserve">        https://www.uwo.ca/univsec/pdf/academic_policies/appeals/medicalform.pdf </w:t>
      </w:r>
    </w:p>
    <w:p w:rsidR="00EC6D21" w:rsidRPr="00435066" w:rsidRDefault="00EC6D21" w:rsidP="00EC6D21">
      <w:pPr>
        <w:autoSpaceDE w:val="0"/>
        <w:autoSpaceDN w:val="0"/>
        <w:adjustRightInd w:val="0"/>
        <w:ind w:left="390"/>
        <w:rPr>
          <w:rFonts w:cstheme="minorHAnsi"/>
          <w:i/>
        </w:rPr>
      </w:pPr>
    </w:p>
    <w:p w:rsidR="00EC6D21" w:rsidRPr="00435066" w:rsidRDefault="00EC6D21" w:rsidP="00EC6D21">
      <w:pPr>
        <w:autoSpaceDE w:val="0"/>
        <w:autoSpaceDN w:val="0"/>
        <w:adjustRightInd w:val="0"/>
        <w:ind w:left="390"/>
        <w:rPr>
          <w:rFonts w:cstheme="minorHAnsi"/>
        </w:rPr>
      </w:pPr>
      <w:r w:rsidRPr="00435066">
        <w:rPr>
          <w:rFonts w:cstheme="minorHAnsi"/>
        </w:rPr>
        <w:t xml:space="preserve">Students who experience an extenuating circumstance (illness, injury, or other extenuating circumstance) sufficiently significant to temporarily render them unable to meet academic requirements may submit a request for academic consideration through the following routes: </w:t>
      </w:r>
    </w:p>
    <w:p w:rsidR="00EC6D21" w:rsidRPr="00435066" w:rsidRDefault="00EC6D21" w:rsidP="00EC6D21">
      <w:pPr>
        <w:autoSpaceDE w:val="0"/>
        <w:autoSpaceDN w:val="0"/>
        <w:adjustRightInd w:val="0"/>
        <w:ind w:left="390"/>
        <w:rPr>
          <w:rFonts w:cstheme="minorHAnsi"/>
        </w:rPr>
      </w:pPr>
    </w:p>
    <w:p w:rsidR="00EC6D21" w:rsidRPr="00435066" w:rsidRDefault="00EC6D21" w:rsidP="00EC6D21">
      <w:pPr>
        <w:numPr>
          <w:ilvl w:val="0"/>
          <w:numId w:val="5"/>
        </w:numPr>
        <w:tabs>
          <w:tab w:val="left" w:pos="851"/>
        </w:tabs>
        <w:autoSpaceDE w:val="0"/>
        <w:autoSpaceDN w:val="0"/>
        <w:adjustRightInd w:val="0"/>
        <w:ind w:left="851" w:hanging="425"/>
        <w:rPr>
          <w:rFonts w:cstheme="minorHAnsi"/>
        </w:rPr>
      </w:pPr>
      <w:r w:rsidRPr="00435066">
        <w:rPr>
          <w:rFonts w:cstheme="minorHAnsi"/>
          <w:b/>
        </w:rPr>
        <w:t>Submitting a Self-Reported Absence form</w:t>
      </w:r>
      <w:r w:rsidRPr="00435066">
        <w:rPr>
          <w:rFonts w:cstheme="minorHAnsi"/>
        </w:rPr>
        <w:t xml:space="preserve"> provided that the conditions for submission are Met (see below);</w:t>
      </w:r>
    </w:p>
    <w:p w:rsidR="00EC6D21" w:rsidRPr="00435066" w:rsidRDefault="00EC6D21" w:rsidP="00EC6D21">
      <w:pPr>
        <w:numPr>
          <w:ilvl w:val="0"/>
          <w:numId w:val="5"/>
        </w:numPr>
        <w:tabs>
          <w:tab w:val="left" w:pos="851"/>
        </w:tabs>
        <w:autoSpaceDE w:val="0"/>
        <w:autoSpaceDN w:val="0"/>
        <w:adjustRightInd w:val="0"/>
        <w:ind w:left="851" w:hanging="425"/>
        <w:rPr>
          <w:rFonts w:cstheme="minorHAnsi"/>
        </w:rPr>
      </w:pPr>
      <w:r w:rsidRPr="00435066">
        <w:rPr>
          <w:rFonts w:cstheme="minorHAnsi"/>
          <w:b/>
        </w:rPr>
        <w:t>For medical absences, submitting a Student Medical Certificate (SMC)</w:t>
      </w:r>
      <w:r w:rsidRPr="00435066">
        <w:rPr>
          <w:rFonts w:cstheme="minorHAnsi"/>
        </w:rPr>
        <w:t xml:space="preserve">, signed by a licensed medical or mental health practitioner in order to be eligible for Academic Consideration (for instance, when a Self-Report is not possible:  any assignment worth more than 30%, final exams, or December mid-terms during exam schedule); or </w:t>
      </w:r>
    </w:p>
    <w:p w:rsidR="00EC6D21" w:rsidRPr="00435066" w:rsidRDefault="00EC6D21" w:rsidP="00EC6D21">
      <w:pPr>
        <w:numPr>
          <w:ilvl w:val="0"/>
          <w:numId w:val="5"/>
        </w:numPr>
        <w:tabs>
          <w:tab w:val="left" w:pos="851"/>
        </w:tabs>
        <w:autoSpaceDE w:val="0"/>
        <w:autoSpaceDN w:val="0"/>
        <w:adjustRightInd w:val="0"/>
        <w:ind w:left="851" w:hanging="425"/>
        <w:rPr>
          <w:rFonts w:cstheme="minorHAnsi"/>
        </w:rPr>
      </w:pPr>
      <w:r w:rsidRPr="00435066">
        <w:rPr>
          <w:rFonts w:cstheme="minorHAnsi"/>
          <w:b/>
        </w:rPr>
        <w:t>For non-medical absences</w:t>
      </w:r>
      <w:r w:rsidRPr="00435066">
        <w:rPr>
          <w:rFonts w:cstheme="minorHAnsi"/>
        </w:rPr>
        <w:t>, submitting appropriate documentation (e.g., obituary, police report, accident report, court order, etc.) to Academic Counselling in their Faculty of registration in order to be eligible for academic consideration. Students are encouraged to contact their Academic Counselling unit to clarify what documentation is appropriate.</w:t>
      </w:r>
    </w:p>
    <w:p w:rsidR="00EC6D21" w:rsidRPr="00435066" w:rsidRDefault="00EC6D21" w:rsidP="00EC6D21">
      <w:pPr>
        <w:autoSpaceDE w:val="0"/>
        <w:autoSpaceDN w:val="0"/>
        <w:adjustRightInd w:val="0"/>
        <w:ind w:left="390"/>
        <w:rPr>
          <w:rFonts w:cstheme="minorHAnsi"/>
        </w:rPr>
      </w:pPr>
    </w:p>
    <w:p w:rsidR="00EC6D21" w:rsidRPr="00435066" w:rsidRDefault="00EC6D21" w:rsidP="00EC6D21">
      <w:pPr>
        <w:autoSpaceDE w:val="0"/>
        <w:autoSpaceDN w:val="0"/>
        <w:adjustRightInd w:val="0"/>
        <w:ind w:left="390"/>
        <w:rPr>
          <w:rFonts w:cstheme="minorHAnsi"/>
        </w:rPr>
      </w:pPr>
      <w:r w:rsidRPr="00435066">
        <w:rPr>
          <w:rFonts w:cstheme="minorHAnsi"/>
        </w:rPr>
        <w:t xml:space="preserve">Any documentation required must be submitted by the student directly to your Faculty’s Dean’s office (or academic counselor), and not to the instructor. For students of the Faculty of Theology, all such documentation must be submitted to room A227.  It will be the Dean`s office that will determine if accommodation is warranted.  </w:t>
      </w:r>
    </w:p>
    <w:p w:rsidR="00EC6D21" w:rsidRPr="00435066" w:rsidRDefault="00EC6D21" w:rsidP="00EC6D21">
      <w:pPr>
        <w:autoSpaceDE w:val="0"/>
        <w:autoSpaceDN w:val="0"/>
        <w:adjustRightInd w:val="0"/>
        <w:rPr>
          <w:rFonts w:cstheme="minorHAnsi"/>
        </w:rPr>
      </w:pPr>
    </w:p>
    <w:p w:rsidR="00EC6D21" w:rsidRPr="00435066" w:rsidRDefault="00EC6D21" w:rsidP="00EC6D21">
      <w:pPr>
        <w:autoSpaceDE w:val="0"/>
        <w:autoSpaceDN w:val="0"/>
        <w:adjustRightInd w:val="0"/>
        <w:ind w:left="390"/>
        <w:rPr>
          <w:rFonts w:cstheme="minorHAnsi"/>
          <w:b/>
        </w:rPr>
      </w:pPr>
      <w:r w:rsidRPr="00435066">
        <w:rPr>
          <w:rFonts w:cstheme="minorHAnsi"/>
          <w:b/>
        </w:rPr>
        <w:t>Further Details about Requests for Academic Consideration Self-Reported Absence Form</w:t>
      </w:r>
    </w:p>
    <w:p w:rsidR="00EC6D21" w:rsidRPr="00435066" w:rsidRDefault="00EC6D21" w:rsidP="00EC6D21">
      <w:pPr>
        <w:autoSpaceDE w:val="0"/>
        <w:autoSpaceDN w:val="0"/>
        <w:adjustRightInd w:val="0"/>
        <w:ind w:left="390"/>
        <w:rPr>
          <w:rFonts w:cstheme="minorHAnsi"/>
          <w:b/>
        </w:rPr>
      </w:pPr>
    </w:p>
    <w:p w:rsidR="00EC6D21" w:rsidRPr="00435066" w:rsidRDefault="00EC6D21" w:rsidP="00EC6D21">
      <w:pPr>
        <w:autoSpaceDE w:val="0"/>
        <w:autoSpaceDN w:val="0"/>
        <w:adjustRightInd w:val="0"/>
        <w:ind w:left="390"/>
        <w:rPr>
          <w:rFonts w:cstheme="minorHAnsi"/>
        </w:rPr>
      </w:pPr>
      <w:r w:rsidRPr="00435066">
        <w:rPr>
          <w:rFonts w:cstheme="minorHAnsi"/>
        </w:rPr>
        <w:t xml:space="preserve">The full Policy on Academic Consideration for student absences is available at: </w:t>
      </w:r>
    </w:p>
    <w:p w:rsidR="00EC6D21" w:rsidRPr="00435066" w:rsidRDefault="00E550D8" w:rsidP="00EC6D21">
      <w:pPr>
        <w:autoSpaceDE w:val="0"/>
        <w:autoSpaceDN w:val="0"/>
        <w:adjustRightInd w:val="0"/>
        <w:ind w:left="390"/>
        <w:rPr>
          <w:rFonts w:cstheme="minorHAnsi"/>
        </w:rPr>
      </w:pPr>
      <w:hyperlink r:id="rId18" w:history="1">
        <w:r w:rsidR="00EC6D21" w:rsidRPr="00435066">
          <w:rPr>
            <w:rStyle w:val="Hyperlink"/>
            <w:rFonts w:cstheme="minorHAnsi"/>
            <w:color w:val="auto"/>
          </w:rPr>
          <w:t>https://www.uwo.ca/univsec/pdf/academic_policies/appeals/Academic_Consideration_for_absences.pdf</w:t>
        </w:r>
      </w:hyperlink>
      <w:r w:rsidR="00EC6D21" w:rsidRPr="00435066">
        <w:rPr>
          <w:rFonts w:cstheme="minorHAnsi"/>
        </w:rPr>
        <w:t xml:space="preserve"> .</w:t>
      </w:r>
    </w:p>
    <w:p w:rsidR="00EC6D21" w:rsidRPr="00435066" w:rsidRDefault="00EC6D21" w:rsidP="00EC6D21">
      <w:pPr>
        <w:autoSpaceDE w:val="0"/>
        <w:autoSpaceDN w:val="0"/>
        <w:adjustRightInd w:val="0"/>
        <w:ind w:left="390"/>
        <w:rPr>
          <w:rFonts w:cstheme="minorHAnsi"/>
        </w:rPr>
      </w:pPr>
    </w:p>
    <w:p w:rsidR="00EC6D21" w:rsidRPr="00435066" w:rsidRDefault="00EC6D21" w:rsidP="00EC6D21">
      <w:pPr>
        <w:autoSpaceDE w:val="0"/>
        <w:autoSpaceDN w:val="0"/>
        <w:adjustRightInd w:val="0"/>
        <w:ind w:left="390"/>
        <w:rPr>
          <w:rFonts w:cstheme="minorHAnsi"/>
        </w:rPr>
      </w:pPr>
      <w:r w:rsidRPr="00435066">
        <w:rPr>
          <w:rFonts w:cstheme="minorHAnsi"/>
        </w:rPr>
        <w:t xml:space="preserve">Students who experience an unexpected illness or injury or an extenuating circumstance (48 </w:t>
      </w:r>
    </w:p>
    <w:p w:rsidR="00EC6D21" w:rsidRPr="00435066" w:rsidRDefault="00EC6D21" w:rsidP="00EC6D21">
      <w:pPr>
        <w:autoSpaceDE w:val="0"/>
        <w:autoSpaceDN w:val="0"/>
        <w:adjustRightInd w:val="0"/>
        <w:ind w:left="390"/>
        <w:rPr>
          <w:rFonts w:cstheme="minorHAnsi"/>
        </w:rPr>
      </w:pPr>
      <w:r w:rsidRPr="00435066">
        <w:rPr>
          <w:rFonts w:cstheme="minorHAnsi"/>
        </w:rPr>
        <w:t>hours or less) that is sufficiently severe to temporarily render them unable to meet academic requirements (e.g., attending lectures or labs, writing tests or midterm exams, completing and submitting assignments, participating in presentations) should self-declare using the online Self-</w:t>
      </w:r>
    </w:p>
    <w:p w:rsidR="00EC6D21" w:rsidRPr="00435066" w:rsidRDefault="00EC6D21" w:rsidP="00EC6D21">
      <w:pPr>
        <w:autoSpaceDE w:val="0"/>
        <w:autoSpaceDN w:val="0"/>
        <w:adjustRightInd w:val="0"/>
        <w:ind w:left="390"/>
        <w:rPr>
          <w:rFonts w:cstheme="minorHAnsi"/>
        </w:rPr>
      </w:pPr>
      <w:r w:rsidRPr="00435066">
        <w:rPr>
          <w:rFonts w:cstheme="minorHAnsi"/>
        </w:rPr>
        <w:t xml:space="preserve">Reported Absence portal.  This option should be used in situations where the student expects to resume academic responsibilities within 48 hours or less. </w:t>
      </w:r>
    </w:p>
    <w:p w:rsidR="00EC6D21" w:rsidRPr="00435066" w:rsidRDefault="00EC6D21" w:rsidP="00EC6D21">
      <w:pPr>
        <w:autoSpaceDE w:val="0"/>
        <w:autoSpaceDN w:val="0"/>
        <w:adjustRightInd w:val="0"/>
        <w:ind w:left="390"/>
        <w:rPr>
          <w:rFonts w:cstheme="minorHAnsi"/>
        </w:rPr>
      </w:pPr>
    </w:p>
    <w:p w:rsidR="00EC6D21" w:rsidRPr="00435066" w:rsidRDefault="00EC6D21" w:rsidP="00EC6D21">
      <w:pPr>
        <w:autoSpaceDE w:val="0"/>
        <w:autoSpaceDN w:val="0"/>
        <w:adjustRightInd w:val="0"/>
        <w:ind w:left="390"/>
        <w:rPr>
          <w:rFonts w:cstheme="minorHAnsi"/>
        </w:rPr>
      </w:pPr>
      <w:r w:rsidRPr="00435066">
        <w:rPr>
          <w:rFonts w:cstheme="minorHAnsi"/>
        </w:rPr>
        <w:t xml:space="preserve">The following conditions are in place for self-reporting of medical or extenuating circumstances: </w:t>
      </w:r>
    </w:p>
    <w:p w:rsidR="00EC6D21" w:rsidRPr="00435066" w:rsidRDefault="00EC6D21" w:rsidP="00EC6D21">
      <w:pPr>
        <w:autoSpaceDE w:val="0"/>
        <w:autoSpaceDN w:val="0"/>
        <w:adjustRightInd w:val="0"/>
        <w:ind w:left="390"/>
        <w:rPr>
          <w:rFonts w:cstheme="minorHAnsi"/>
        </w:rPr>
      </w:pPr>
    </w:p>
    <w:p w:rsidR="00EC6D21" w:rsidRPr="00435066" w:rsidRDefault="00EC6D21" w:rsidP="00EC6D21">
      <w:pPr>
        <w:numPr>
          <w:ilvl w:val="0"/>
          <w:numId w:val="6"/>
        </w:numPr>
        <w:autoSpaceDE w:val="0"/>
        <w:autoSpaceDN w:val="0"/>
        <w:adjustRightInd w:val="0"/>
        <w:ind w:left="709" w:hanging="283"/>
        <w:rPr>
          <w:rFonts w:cstheme="minorHAnsi"/>
        </w:rPr>
      </w:pPr>
      <w:r w:rsidRPr="00435066">
        <w:rPr>
          <w:rFonts w:cstheme="minorHAnsi"/>
        </w:rPr>
        <w:t>students will be allowed a maximum of two self-reported absences between September and April and one self-reported absence between May and August</w:t>
      </w:r>
    </w:p>
    <w:p w:rsidR="00EC6D21" w:rsidRPr="00435066" w:rsidRDefault="00EC6D21" w:rsidP="00EC6D21">
      <w:pPr>
        <w:numPr>
          <w:ilvl w:val="0"/>
          <w:numId w:val="6"/>
        </w:numPr>
        <w:autoSpaceDE w:val="0"/>
        <w:autoSpaceDN w:val="0"/>
        <w:adjustRightInd w:val="0"/>
        <w:ind w:left="709" w:hanging="283"/>
        <w:rPr>
          <w:rFonts w:cstheme="minorHAnsi"/>
        </w:rPr>
      </w:pPr>
      <w:r w:rsidRPr="00435066">
        <w:rPr>
          <w:rFonts w:cstheme="minorHAnsi"/>
        </w:rPr>
        <w:t xml:space="preserve">any absences in excess of the number designated in clause </w:t>
      </w:r>
      <w:proofErr w:type="gramStart"/>
      <w:r w:rsidRPr="00435066">
        <w:rPr>
          <w:rFonts w:cstheme="minorHAnsi"/>
        </w:rPr>
        <w:t>a</w:t>
      </w:r>
      <w:proofErr w:type="gramEnd"/>
      <w:r w:rsidRPr="00435066">
        <w:rPr>
          <w:rFonts w:cstheme="minorHAnsi"/>
        </w:rPr>
        <w:t xml:space="preserve"> above, regardless of duration, will require students to present a Student Medical Certificate (SMC), signed by a licensed medical or mental health practitioner, detailing the duration and severity of illness, or appropriate documentation supporting extenuating circumstances to the Academic Counselling unit in their Faculty of registration no later than two business days after the date specified for resuming responsibilities.</w:t>
      </w:r>
    </w:p>
    <w:p w:rsidR="00EC6D21" w:rsidRPr="00435066" w:rsidRDefault="00EC6D21" w:rsidP="00EC6D21">
      <w:pPr>
        <w:autoSpaceDE w:val="0"/>
        <w:autoSpaceDN w:val="0"/>
        <w:adjustRightInd w:val="0"/>
        <w:ind w:left="425" w:hanging="425"/>
        <w:rPr>
          <w:rFonts w:cstheme="minorHAnsi"/>
        </w:rPr>
      </w:pPr>
    </w:p>
    <w:p w:rsidR="00EC6D21" w:rsidRPr="00435066" w:rsidRDefault="00EC6D21" w:rsidP="00EC6D21">
      <w:pPr>
        <w:numPr>
          <w:ilvl w:val="0"/>
          <w:numId w:val="6"/>
        </w:numPr>
        <w:autoSpaceDE w:val="0"/>
        <w:autoSpaceDN w:val="0"/>
        <w:adjustRightInd w:val="0"/>
        <w:ind w:left="709" w:hanging="283"/>
        <w:rPr>
          <w:rFonts w:cstheme="minorHAnsi"/>
        </w:rPr>
      </w:pPr>
      <w:r w:rsidRPr="00435066">
        <w:rPr>
          <w:rFonts w:cstheme="minorHAnsi"/>
        </w:rPr>
        <w:t>The duration of the excused absence will be for a maximum of 48 hours from the time the Self-Reported Absence form is completed through the online portal, or from 8:30 am the following morning if the form is submitted after 4:30 pm;</w:t>
      </w:r>
    </w:p>
    <w:p w:rsidR="00EC6D21" w:rsidRPr="00435066" w:rsidRDefault="00EC6D21" w:rsidP="00EC6D21">
      <w:pPr>
        <w:pStyle w:val="ListParagraph"/>
        <w:rPr>
          <w:rFonts w:asciiTheme="minorHAnsi" w:hAnsiTheme="minorHAnsi" w:cstheme="minorHAnsi"/>
          <w:sz w:val="22"/>
          <w:szCs w:val="22"/>
        </w:rPr>
      </w:pPr>
    </w:p>
    <w:p w:rsidR="00EC6D21" w:rsidRPr="00435066" w:rsidRDefault="00EC6D21" w:rsidP="00EC6D21">
      <w:pPr>
        <w:numPr>
          <w:ilvl w:val="0"/>
          <w:numId w:val="6"/>
        </w:numPr>
        <w:autoSpaceDE w:val="0"/>
        <w:autoSpaceDN w:val="0"/>
        <w:adjustRightInd w:val="0"/>
        <w:ind w:left="709" w:hanging="283"/>
        <w:rPr>
          <w:rFonts w:cstheme="minorHAnsi"/>
        </w:rPr>
      </w:pPr>
      <w:r w:rsidRPr="00435066">
        <w:rPr>
          <w:rFonts w:cstheme="minorHAnsi"/>
        </w:rPr>
        <w:t>The duration of the excused absence will terminate prior to the end of the 48-hour period should the student undertake significant academic responsibilities (write a test, submit a paper) during that time;</w:t>
      </w:r>
    </w:p>
    <w:p w:rsidR="00EC6D21" w:rsidRPr="00435066" w:rsidRDefault="00EC6D21" w:rsidP="00EC6D21">
      <w:pPr>
        <w:pStyle w:val="ListParagraph"/>
        <w:rPr>
          <w:rFonts w:asciiTheme="minorHAnsi" w:hAnsiTheme="minorHAnsi" w:cstheme="minorHAnsi"/>
          <w:sz w:val="22"/>
          <w:szCs w:val="22"/>
        </w:rPr>
      </w:pPr>
    </w:p>
    <w:p w:rsidR="00EC6D21" w:rsidRPr="00435066" w:rsidRDefault="00EC6D21" w:rsidP="00EC6D21">
      <w:pPr>
        <w:numPr>
          <w:ilvl w:val="0"/>
          <w:numId w:val="6"/>
        </w:numPr>
        <w:autoSpaceDE w:val="0"/>
        <w:autoSpaceDN w:val="0"/>
        <w:adjustRightInd w:val="0"/>
        <w:ind w:left="709" w:hanging="283"/>
        <w:rPr>
          <w:rFonts w:cstheme="minorHAnsi"/>
        </w:rPr>
      </w:pPr>
      <w:r w:rsidRPr="00435066">
        <w:rPr>
          <w:rFonts w:cstheme="minorHAnsi"/>
        </w:rPr>
        <w:t>The duration of an excused absence will terminate at 8:30 am on the day following the last day of classes each semester regardless of how many days of absence have elapsed;</w:t>
      </w:r>
    </w:p>
    <w:p w:rsidR="00EC6D21" w:rsidRPr="00435066" w:rsidRDefault="00EC6D21" w:rsidP="00EC6D21">
      <w:pPr>
        <w:autoSpaceDE w:val="0"/>
        <w:autoSpaceDN w:val="0"/>
        <w:adjustRightInd w:val="0"/>
        <w:ind w:left="884"/>
        <w:rPr>
          <w:rFonts w:cstheme="minorHAnsi"/>
        </w:rPr>
      </w:pPr>
    </w:p>
    <w:p w:rsidR="00EC6D21" w:rsidRPr="00435066" w:rsidRDefault="00EC6D21" w:rsidP="00EC6D21">
      <w:pPr>
        <w:numPr>
          <w:ilvl w:val="0"/>
          <w:numId w:val="6"/>
        </w:numPr>
        <w:autoSpaceDE w:val="0"/>
        <w:autoSpaceDN w:val="0"/>
        <w:adjustRightInd w:val="0"/>
        <w:ind w:left="709" w:hanging="283"/>
        <w:rPr>
          <w:rFonts w:cstheme="minorHAnsi"/>
        </w:rPr>
      </w:pPr>
      <w:r w:rsidRPr="00435066">
        <w:rPr>
          <w:rFonts w:cstheme="minorHAnsi"/>
        </w:rPr>
        <w:t>Self-reported absences will not be allowed for scheduled final examinations; for midterm examinations scheduled during the December examination period; or for final lab examinations scheduled during the final week of term;</w:t>
      </w:r>
    </w:p>
    <w:p w:rsidR="00EC6D21" w:rsidRPr="00435066" w:rsidRDefault="00EC6D21" w:rsidP="00EC6D21">
      <w:pPr>
        <w:pStyle w:val="ListParagraph"/>
        <w:ind w:left="360"/>
        <w:rPr>
          <w:rFonts w:asciiTheme="minorHAnsi" w:hAnsiTheme="minorHAnsi" w:cstheme="minorHAnsi"/>
          <w:sz w:val="22"/>
          <w:szCs w:val="22"/>
        </w:rPr>
      </w:pPr>
    </w:p>
    <w:p w:rsidR="00EC6D21" w:rsidRPr="00435066" w:rsidRDefault="00EC6D21" w:rsidP="00EC6D21">
      <w:pPr>
        <w:numPr>
          <w:ilvl w:val="0"/>
          <w:numId w:val="6"/>
        </w:numPr>
        <w:autoSpaceDE w:val="0"/>
        <w:autoSpaceDN w:val="0"/>
        <w:adjustRightInd w:val="0"/>
        <w:ind w:left="709" w:hanging="283"/>
        <w:rPr>
          <w:rFonts w:cstheme="minorHAnsi"/>
        </w:rPr>
      </w:pPr>
      <w:r w:rsidRPr="00435066">
        <w:rPr>
          <w:rFonts w:cstheme="minorHAnsi"/>
        </w:rPr>
        <w:t>Self-reporting may not be used for assessments (e.g. midterm exams, tests, reports, presentations, or essays) worth more than 30% of any given course.</w:t>
      </w:r>
    </w:p>
    <w:p w:rsidR="00EC6D21" w:rsidRPr="00435066" w:rsidRDefault="00EC6D21" w:rsidP="00EC6D21">
      <w:pPr>
        <w:autoSpaceDE w:val="0"/>
        <w:autoSpaceDN w:val="0"/>
        <w:adjustRightInd w:val="0"/>
        <w:ind w:left="884"/>
        <w:rPr>
          <w:rFonts w:cstheme="minorHAnsi"/>
        </w:rPr>
      </w:pPr>
    </w:p>
    <w:p w:rsidR="00EC6D21" w:rsidRPr="00435066" w:rsidRDefault="00EC6D21" w:rsidP="00EC6D21">
      <w:pPr>
        <w:numPr>
          <w:ilvl w:val="0"/>
          <w:numId w:val="6"/>
        </w:numPr>
        <w:autoSpaceDE w:val="0"/>
        <w:autoSpaceDN w:val="0"/>
        <w:adjustRightInd w:val="0"/>
        <w:ind w:left="709" w:hanging="283"/>
        <w:rPr>
          <w:rFonts w:cstheme="minorHAnsi"/>
        </w:rPr>
      </w:pPr>
      <w:r w:rsidRPr="00435066">
        <w:rPr>
          <w:rFonts w:cstheme="minorHAnsi"/>
        </w:rPr>
        <w:t>students must be in touch with their instructors no later than 24 hours after the end of the period covered by the Self-Reported Absence form, to clarify how they will be expected to fulfil the academic expectations they may have missed during the absence</w:t>
      </w:r>
    </w:p>
    <w:p w:rsidR="00EC6D21" w:rsidRPr="00435066" w:rsidRDefault="00EC6D21" w:rsidP="00EC6D21">
      <w:pPr>
        <w:autoSpaceDE w:val="0"/>
        <w:autoSpaceDN w:val="0"/>
        <w:adjustRightInd w:val="0"/>
        <w:ind w:left="390"/>
        <w:rPr>
          <w:rFonts w:cstheme="minorHAnsi"/>
          <w:b/>
        </w:rPr>
      </w:pPr>
    </w:p>
    <w:p w:rsidR="00EC6D21" w:rsidRPr="00435066" w:rsidRDefault="00EC6D21" w:rsidP="00EC6D21">
      <w:pPr>
        <w:autoSpaceDE w:val="0"/>
        <w:autoSpaceDN w:val="0"/>
        <w:adjustRightInd w:val="0"/>
        <w:ind w:left="390"/>
        <w:rPr>
          <w:rFonts w:cstheme="minorHAnsi"/>
          <w:b/>
        </w:rPr>
      </w:pPr>
    </w:p>
    <w:p w:rsidR="00EC6D21" w:rsidRPr="00435066" w:rsidRDefault="00EC6D21" w:rsidP="00EC6D21">
      <w:pPr>
        <w:autoSpaceDE w:val="0"/>
        <w:autoSpaceDN w:val="0"/>
        <w:adjustRightInd w:val="0"/>
        <w:ind w:left="750"/>
        <w:rPr>
          <w:rFonts w:cstheme="minorHAnsi"/>
          <w:b/>
          <w:i/>
        </w:rPr>
      </w:pPr>
    </w:p>
    <w:p w:rsidR="00EC6D21" w:rsidRPr="00435066" w:rsidRDefault="00EC6D21" w:rsidP="00EC6D21">
      <w:pPr>
        <w:rPr>
          <w:rFonts w:cstheme="minorHAnsi"/>
          <w:b/>
          <w:bCs/>
        </w:rPr>
      </w:pPr>
    </w:p>
    <w:p w:rsidR="00EC6D21" w:rsidRPr="00435066" w:rsidRDefault="00EC6D21" w:rsidP="00EC6D21">
      <w:pPr>
        <w:rPr>
          <w:rFonts w:cstheme="minorHAnsi"/>
          <w:b/>
          <w:bCs/>
        </w:rPr>
      </w:pPr>
    </w:p>
    <w:p w:rsidR="00EC6D21" w:rsidRPr="00435066" w:rsidRDefault="00EC6D21" w:rsidP="00EC6D21">
      <w:pPr>
        <w:rPr>
          <w:rFonts w:cstheme="minorHAnsi"/>
          <w:b/>
          <w:bCs/>
        </w:rPr>
      </w:pPr>
    </w:p>
    <w:p w:rsidR="00EC6D21" w:rsidRPr="00435066" w:rsidRDefault="00EC6D21" w:rsidP="00EC6D21">
      <w:pPr>
        <w:rPr>
          <w:rFonts w:cstheme="minorHAnsi"/>
        </w:rPr>
      </w:pPr>
    </w:p>
    <w:p w:rsidR="00EC6D21" w:rsidRPr="00435066" w:rsidRDefault="00EC6D21" w:rsidP="00EC6D21">
      <w:pPr>
        <w:tabs>
          <w:tab w:val="left" w:pos="2380"/>
        </w:tabs>
        <w:rPr>
          <w:rFonts w:cstheme="minorHAnsi"/>
        </w:rPr>
      </w:pPr>
    </w:p>
    <w:p w:rsidR="007F2543" w:rsidRPr="00435066" w:rsidRDefault="007F2543">
      <w:pPr>
        <w:rPr>
          <w:rFonts w:cstheme="minorHAnsi"/>
        </w:rPr>
      </w:pPr>
    </w:p>
    <w:sectPr w:rsidR="007F2543" w:rsidRPr="00435066" w:rsidSect="00AB0DE9">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55859"/>
    <w:multiLevelType w:val="hybridMultilevel"/>
    <w:tmpl w:val="2102B5B2"/>
    <w:lvl w:ilvl="0" w:tplc="00E00DA0">
      <w:start w:val="1"/>
      <w:numFmt w:val="lowerRoman"/>
      <w:lvlText w:val="%1."/>
      <w:lvlJc w:val="left"/>
      <w:pPr>
        <w:ind w:left="1110" w:hanging="720"/>
      </w:pPr>
      <w:rPr>
        <w:rFonts w:hint="default"/>
      </w:rPr>
    </w:lvl>
    <w:lvl w:ilvl="1" w:tplc="10090019" w:tentative="1">
      <w:start w:val="1"/>
      <w:numFmt w:val="lowerLetter"/>
      <w:lvlText w:val="%2."/>
      <w:lvlJc w:val="left"/>
      <w:pPr>
        <w:ind w:left="1470" w:hanging="360"/>
      </w:pPr>
    </w:lvl>
    <w:lvl w:ilvl="2" w:tplc="1009001B" w:tentative="1">
      <w:start w:val="1"/>
      <w:numFmt w:val="lowerRoman"/>
      <w:lvlText w:val="%3."/>
      <w:lvlJc w:val="right"/>
      <w:pPr>
        <w:ind w:left="2190" w:hanging="180"/>
      </w:pPr>
    </w:lvl>
    <w:lvl w:ilvl="3" w:tplc="1009000F" w:tentative="1">
      <w:start w:val="1"/>
      <w:numFmt w:val="decimal"/>
      <w:lvlText w:val="%4."/>
      <w:lvlJc w:val="left"/>
      <w:pPr>
        <w:ind w:left="2910" w:hanging="360"/>
      </w:pPr>
    </w:lvl>
    <w:lvl w:ilvl="4" w:tplc="10090019" w:tentative="1">
      <w:start w:val="1"/>
      <w:numFmt w:val="lowerLetter"/>
      <w:lvlText w:val="%5."/>
      <w:lvlJc w:val="left"/>
      <w:pPr>
        <w:ind w:left="3630" w:hanging="360"/>
      </w:pPr>
    </w:lvl>
    <w:lvl w:ilvl="5" w:tplc="1009001B" w:tentative="1">
      <w:start w:val="1"/>
      <w:numFmt w:val="lowerRoman"/>
      <w:lvlText w:val="%6."/>
      <w:lvlJc w:val="right"/>
      <w:pPr>
        <w:ind w:left="4350" w:hanging="180"/>
      </w:pPr>
    </w:lvl>
    <w:lvl w:ilvl="6" w:tplc="1009000F" w:tentative="1">
      <w:start w:val="1"/>
      <w:numFmt w:val="decimal"/>
      <w:lvlText w:val="%7."/>
      <w:lvlJc w:val="left"/>
      <w:pPr>
        <w:ind w:left="5070" w:hanging="360"/>
      </w:pPr>
    </w:lvl>
    <w:lvl w:ilvl="7" w:tplc="10090019" w:tentative="1">
      <w:start w:val="1"/>
      <w:numFmt w:val="lowerLetter"/>
      <w:lvlText w:val="%8."/>
      <w:lvlJc w:val="left"/>
      <w:pPr>
        <w:ind w:left="5790" w:hanging="360"/>
      </w:pPr>
    </w:lvl>
    <w:lvl w:ilvl="8" w:tplc="1009001B" w:tentative="1">
      <w:start w:val="1"/>
      <w:numFmt w:val="lowerRoman"/>
      <w:lvlText w:val="%9."/>
      <w:lvlJc w:val="right"/>
      <w:pPr>
        <w:ind w:left="6510" w:hanging="180"/>
      </w:pPr>
    </w:lvl>
  </w:abstractNum>
  <w:abstractNum w:abstractNumId="1" w15:restartNumberingAfterBreak="0">
    <w:nsid w:val="14A0023B"/>
    <w:multiLevelType w:val="hybridMultilevel"/>
    <w:tmpl w:val="922ABDBA"/>
    <w:lvl w:ilvl="0" w:tplc="EC9A58CA">
      <w:start w:val="1"/>
      <w:numFmt w:val="upperLetter"/>
      <w:lvlText w:val="%1)"/>
      <w:lvlJc w:val="left"/>
      <w:pPr>
        <w:ind w:left="750" w:hanging="360"/>
      </w:pPr>
      <w:rPr>
        <w:rFonts w:hint="default"/>
      </w:rPr>
    </w:lvl>
    <w:lvl w:ilvl="1" w:tplc="10090019" w:tentative="1">
      <w:start w:val="1"/>
      <w:numFmt w:val="lowerLetter"/>
      <w:lvlText w:val="%2."/>
      <w:lvlJc w:val="left"/>
      <w:pPr>
        <w:ind w:left="1470" w:hanging="360"/>
      </w:pPr>
    </w:lvl>
    <w:lvl w:ilvl="2" w:tplc="1009001B" w:tentative="1">
      <w:start w:val="1"/>
      <w:numFmt w:val="lowerRoman"/>
      <w:lvlText w:val="%3."/>
      <w:lvlJc w:val="right"/>
      <w:pPr>
        <w:ind w:left="2190" w:hanging="180"/>
      </w:pPr>
    </w:lvl>
    <w:lvl w:ilvl="3" w:tplc="1009000F" w:tentative="1">
      <w:start w:val="1"/>
      <w:numFmt w:val="decimal"/>
      <w:lvlText w:val="%4."/>
      <w:lvlJc w:val="left"/>
      <w:pPr>
        <w:ind w:left="2910" w:hanging="360"/>
      </w:pPr>
    </w:lvl>
    <w:lvl w:ilvl="4" w:tplc="10090019" w:tentative="1">
      <w:start w:val="1"/>
      <w:numFmt w:val="lowerLetter"/>
      <w:lvlText w:val="%5."/>
      <w:lvlJc w:val="left"/>
      <w:pPr>
        <w:ind w:left="3630" w:hanging="360"/>
      </w:pPr>
    </w:lvl>
    <w:lvl w:ilvl="5" w:tplc="1009001B" w:tentative="1">
      <w:start w:val="1"/>
      <w:numFmt w:val="lowerRoman"/>
      <w:lvlText w:val="%6."/>
      <w:lvlJc w:val="right"/>
      <w:pPr>
        <w:ind w:left="4350" w:hanging="180"/>
      </w:pPr>
    </w:lvl>
    <w:lvl w:ilvl="6" w:tplc="1009000F" w:tentative="1">
      <w:start w:val="1"/>
      <w:numFmt w:val="decimal"/>
      <w:lvlText w:val="%7."/>
      <w:lvlJc w:val="left"/>
      <w:pPr>
        <w:ind w:left="5070" w:hanging="360"/>
      </w:pPr>
    </w:lvl>
    <w:lvl w:ilvl="7" w:tplc="10090019" w:tentative="1">
      <w:start w:val="1"/>
      <w:numFmt w:val="lowerLetter"/>
      <w:lvlText w:val="%8."/>
      <w:lvlJc w:val="left"/>
      <w:pPr>
        <w:ind w:left="5790" w:hanging="360"/>
      </w:pPr>
    </w:lvl>
    <w:lvl w:ilvl="8" w:tplc="1009001B" w:tentative="1">
      <w:start w:val="1"/>
      <w:numFmt w:val="lowerRoman"/>
      <w:lvlText w:val="%9."/>
      <w:lvlJc w:val="right"/>
      <w:pPr>
        <w:ind w:left="6510" w:hanging="180"/>
      </w:pPr>
    </w:lvl>
  </w:abstractNum>
  <w:abstractNum w:abstractNumId="2" w15:restartNumberingAfterBreak="0">
    <w:nsid w:val="1A4204CC"/>
    <w:multiLevelType w:val="hybridMultilevel"/>
    <w:tmpl w:val="71AEAF4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31F546B0"/>
    <w:multiLevelType w:val="hybridMultilevel"/>
    <w:tmpl w:val="5386C0E0"/>
    <w:lvl w:ilvl="0" w:tplc="C9F8E71A">
      <w:start w:val="1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F2AE5"/>
    <w:multiLevelType w:val="hybridMultilevel"/>
    <w:tmpl w:val="7448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42D55"/>
    <w:multiLevelType w:val="hybridMultilevel"/>
    <w:tmpl w:val="D3D893D8"/>
    <w:lvl w:ilvl="0" w:tplc="43AC6BB8">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1B44F3D"/>
    <w:multiLevelType w:val="singleLevel"/>
    <w:tmpl w:val="D4C081E4"/>
    <w:lvl w:ilvl="0">
      <w:start w:val="1"/>
      <w:numFmt w:val="decimal"/>
      <w:lvlText w:val="%1."/>
      <w:lvlJc w:val="left"/>
      <w:pPr>
        <w:tabs>
          <w:tab w:val="num" w:pos="1080"/>
        </w:tabs>
        <w:ind w:left="1080" w:hanging="360"/>
      </w:pPr>
      <w:rPr>
        <w:rFonts w:asciiTheme="majorHAnsi" w:eastAsia="Times New Roman" w:hAnsiTheme="majorHAnsi" w:cs="Times New Roman"/>
      </w:rPr>
    </w:lvl>
  </w:abstractNum>
  <w:abstractNum w:abstractNumId="7" w15:restartNumberingAfterBreak="0">
    <w:nsid w:val="4804036B"/>
    <w:multiLevelType w:val="hybridMultilevel"/>
    <w:tmpl w:val="9790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809E7"/>
    <w:multiLevelType w:val="hybridMultilevel"/>
    <w:tmpl w:val="198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824E1"/>
    <w:multiLevelType w:val="hybridMultilevel"/>
    <w:tmpl w:val="F81A8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A127501"/>
    <w:multiLevelType w:val="hybridMultilevel"/>
    <w:tmpl w:val="F75070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130E3B"/>
    <w:multiLevelType w:val="hybridMultilevel"/>
    <w:tmpl w:val="5EBC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30239"/>
    <w:multiLevelType w:val="hybridMultilevel"/>
    <w:tmpl w:val="0AF0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13F3B"/>
    <w:multiLevelType w:val="hybridMultilevel"/>
    <w:tmpl w:val="3F5CF7B4"/>
    <w:lvl w:ilvl="0" w:tplc="9CE4694E">
      <w:start w:val="1"/>
      <w:numFmt w:val="lowerLetter"/>
      <w:lvlText w:val="%1."/>
      <w:lvlJc w:val="left"/>
      <w:pPr>
        <w:ind w:left="1244" w:hanging="360"/>
      </w:pPr>
      <w:rPr>
        <w:rFonts w:hint="default"/>
      </w:rPr>
    </w:lvl>
    <w:lvl w:ilvl="1" w:tplc="10090019">
      <w:start w:val="1"/>
      <w:numFmt w:val="lowerLetter"/>
      <w:lvlText w:val="%2."/>
      <w:lvlJc w:val="left"/>
      <w:pPr>
        <w:ind w:left="1964" w:hanging="360"/>
      </w:pPr>
    </w:lvl>
    <w:lvl w:ilvl="2" w:tplc="1009001B" w:tentative="1">
      <w:start w:val="1"/>
      <w:numFmt w:val="lowerRoman"/>
      <w:lvlText w:val="%3."/>
      <w:lvlJc w:val="right"/>
      <w:pPr>
        <w:ind w:left="2684" w:hanging="180"/>
      </w:pPr>
    </w:lvl>
    <w:lvl w:ilvl="3" w:tplc="1009000F" w:tentative="1">
      <w:start w:val="1"/>
      <w:numFmt w:val="decimal"/>
      <w:lvlText w:val="%4."/>
      <w:lvlJc w:val="left"/>
      <w:pPr>
        <w:ind w:left="3404" w:hanging="360"/>
      </w:pPr>
    </w:lvl>
    <w:lvl w:ilvl="4" w:tplc="10090019" w:tentative="1">
      <w:start w:val="1"/>
      <w:numFmt w:val="lowerLetter"/>
      <w:lvlText w:val="%5."/>
      <w:lvlJc w:val="left"/>
      <w:pPr>
        <w:ind w:left="4124" w:hanging="360"/>
      </w:pPr>
    </w:lvl>
    <w:lvl w:ilvl="5" w:tplc="1009001B" w:tentative="1">
      <w:start w:val="1"/>
      <w:numFmt w:val="lowerRoman"/>
      <w:lvlText w:val="%6."/>
      <w:lvlJc w:val="right"/>
      <w:pPr>
        <w:ind w:left="4844" w:hanging="180"/>
      </w:pPr>
    </w:lvl>
    <w:lvl w:ilvl="6" w:tplc="1009000F" w:tentative="1">
      <w:start w:val="1"/>
      <w:numFmt w:val="decimal"/>
      <w:lvlText w:val="%7."/>
      <w:lvlJc w:val="left"/>
      <w:pPr>
        <w:ind w:left="5564" w:hanging="360"/>
      </w:pPr>
    </w:lvl>
    <w:lvl w:ilvl="7" w:tplc="10090019" w:tentative="1">
      <w:start w:val="1"/>
      <w:numFmt w:val="lowerLetter"/>
      <w:lvlText w:val="%8."/>
      <w:lvlJc w:val="left"/>
      <w:pPr>
        <w:ind w:left="6284" w:hanging="360"/>
      </w:pPr>
    </w:lvl>
    <w:lvl w:ilvl="8" w:tplc="1009001B" w:tentative="1">
      <w:start w:val="1"/>
      <w:numFmt w:val="lowerRoman"/>
      <w:lvlText w:val="%9."/>
      <w:lvlJc w:val="right"/>
      <w:pPr>
        <w:ind w:left="7004" w:hanging="180"/>
      </w:pPr>
    </w:lvl>
  </w:abstractNum>
  <w:num w:numId="1">
    <w:abstractNumId w:val="10"/>
  </w:num>
  <w:num w:numId="2">
    <w:abstractNumId w:val="5"/>
  </w:num>
  <w:num w:numId="3">
    <w:abstractNumId w:val="9"/>
  </w:num>
  <w:num w:numId="4">
    <w:abstractNumId w:val="1"/>
  </w:num>
  <w:num w:numId="5">
    <w:abstractNumId w:val="0"/>
  </w:num>
  <w:num w:numId="6">
    <w:abstractNumId w:val="13"/>
  </w:num>
  <w:num w:numId="7">
    <w:abstractNumId w:val="2"/>
  </w:num>
  <w:num w:numId="8">
    <w:abstractNumId w:val="8"/>
  </w:num>
  <w:num w:numId="9">
    <w:abstractNumId w:val="12"/>
  </w:num>
  <w:num w:numId="10">
    <w:abstractNumId w:val="7"/>
  </w:num>
  <w:num w:numId="11">
    <w:abstractNumId w:val="11"/>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21"/>
    <w:rsid w:val="002A6AA1"/>
    <w:rsid w:val="003F70DF"/>
    <w:rsid w:val="00435066"/>
    <w:rsid w:val="007F2543"/>
    <w:rsid w:val="00E550D8"/>
    <w:rsid w:val="00EC6D21"/>
    <w:rsid w:val="00F73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8CEC0-A280-4AD5-BE75-3FF121ED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6D21"/>
    <w:rPr>
      <w:color w:val="0000FF"/>
      <w:u w:val="single"/>
    </w:rPr>
  </w:style>
  <w:style w:type="paragraph" w:styleId="ListParagraph">
    <w:name w:val="List Paragraph"/>
    <w:basedOn w:val="Normal"/>
    <w:uiPriority w:val="34"/>
    <w:qFormat/>
    <w:rsid w:val="00EC6D21"/>
    <w:pPr>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EC6D21"/>
    <w:pPr>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C6D21"/>
    <w:rPr>
      <w:rFonts w:ascii="Times New Roman" w:eastAsia="Times New Roman" w:hAnsi="Times New Roman" w:cs="Times New Roman"/>
      <w:sz w:val="24"/>
      <w:szCs w:val="20"/>
    </w:rPr>
  </w:style>
  <w:style w:type="paragraph" w:customStyle="1" w:styleId="xmsonormal">
    <w:name w:val="x_msonormal"/>
    <w:basedOn w:val="Normal"/>
    <w:rsid w:val="00EC6D21"/>
    <w:rPr>
      <w:rFonts w:ascii="Times New Roman" w:hAnsi="Times New Roman" w:cs="Times New Roman"/>
      <w:sz w:val="24"/>
      <w:szCs w:val="24"/>
    </w:rPr>
  </w:style>
  <w:style w:type="character" w:styleId="Emphasis">
    <w:name w:val="Emphasis"/>
    <w:basedOn w:val="DefaultParagraphFont"/>
    <w:uiPriority w:val="20"/>
    <w:qFormat/>
    <w:rsid w:val="00EC6D21"/>
    <w:rPr>
      <w:i/>
      <w:iCs/>
    </w:rPr>
  </w:style>
  <w:style w:type="paragraph" w:customStyle="1" w:styleId="style13">
    <w:name w:val="style13"/>
    <w:basedOn w:val="Normal"/>
    <w:rsid w:val="00EC6D21"/>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link w:val="TitleChar"/>
    <w:qFormat/>
    <w:rsid w:val="00EC6D21"/>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C6D21"/>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ls.edu/user_files/1/3/4/17/49/1156/Law%20Review%2055.4_07Beauchamp.pdf" TargetMode="External"/><Relationship Id="rId13" Type="http://schemas.openxmlformats.org/officeDocument/2006/relationships/hyperlink" Target="https://archive.org/details/FPmfkmfk/mfk16/mode/2up?view=theater" TargetMode="External"/><Relationship Id="rId18" Type="http://schemas.openxmlformats.org/officeDocument/2006/relationships/hyperlink" Target="https://www.uwo.ca/univsec/pdf/academic_policies/appeals/Academic_Consideration_for_absences.pdf" TargetMode="External"/><Relationship Id="rId3" Type="http://schemas.openxmlformats.org/officeDocument/2006/relationships/settings" Target="settings.xml"/><Relationship Id="rId7" Type="http://schemas.openxmlformats.org/officeDocument/2006/relationships/hyperlink" Target="http://ijmes.chass.ncsu.edu/IJMES_Translation_and_Transliteration_Guide.htm" TargetMode="External"/><Relationship Id="rId12" Type="http://schemas.openxmlformats.org/officeDocument/2006/relationships/hyperlink" Target="https://airtable.com/shr6UEa4wLpP1IWCI/tblgrSvCSViY2oF8j/viw8YNZONumKRTJPk" TargetMode="External"/><Relationship Id="rId17" Type="http://schemas.openxmlformats.org/officeDocument/2006/relationships/hyperlink" Target="https://www.uwo.ca/univsec/pdf/academic_policies/appeals/Academic_Consideration_for_absences.pdf" TargetMode="External"/><Relationship Id="rId2" Type="http://schemas.openxmlformats.org/officeDocument/2006/relationships/styles" Target="styles.xml"/><Relationship Id="rId16" Type="http://schemas.openxmlformats.org/officeDocument/2006/relationships/hyperlink" Target="http://www.uwo.ca/uwocom/mentalhealt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mattson@uwo.ca" TargetMode="External"/><Relationship Id="rId11" Type="http://schemas.openxmlformats.org/officeDocument/2006/relationships/hyperlink" Target="http://id.lib.harvard.edu/alma/99153693809403941/catalog" TargetMode="External"/><Relationship Id="rId5" Type="http://schemas.openxmlformats.org/officeDocument/2006/relationships/image" Target="media/image1.jpeg"/><Relationship Id="rId15" Type="http://schemas.openxmlformats.org/officeDocument/2006/relationships/hyperlink" Target="http://www.huronuc.on.ca" TargetMode="External"/><Relationship Id="rId10" Type="http://schemas.openxmlformats.org/officeDocument/2006/relationships/hyperlink" Target="http://id.lib.harvard.edu/alma/990082269720203941/catalo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jmes.chass.ncsu.edu/IJMES_Translation_and_Transliteration_Guide.htm" TargetMode="External"/><Relationship Id="rId14" Type="http://schemas.openxmlformats.org/officeDocument/2006/relationships/hyperlink" Target="https://guides.library.georgetown.edu/im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3379</Words>
  <Characters>17573</Characters>
  <Application>Microsoft Office Word</Application>
  <DocSecurity>0</DocSecurity>
  <Lines>418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Mattson</dc:creator>
  <cp:keywords/>
  <dc:description/>
  <cp:lastModifiedBy>Sandra Rice</cp:lastModifiedBy>
  <cp:revision>2</cp:revision>
  <dcterms:created xsi:type="dcterms:W3CDTF">2022-01-21T19:49:00Z</dcterms:created>
  <dcterms:modified xsi:type="dcterms:W3CDTF">2022-01-21T19:49:00Z</dcterms:modified>
</cp:coreProperties>
</file>