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D7BAC" w14:textId="3096B5C4" w:rsidR="00F36DEF" w:rsidRPr="00382FC7" w:rsidRDefault="00151DAF" w:rsidP="002C2698">
      <w:pPr>
        <w:tabs>
          <w:tab w:val="left" w:pos="9096"/>
        </w:tabs>
        <w:rPr>
          <w:rFonts w:cstheme="minorHAnsi"/>
        </w:rPr>
      </w:pPr>
      <w:bookmarkStart w:id="0" w:name="_GoBack"/>
      <w:bookmarkEnd w:id="0"/>
      <w:r w:rsidRPr="00382FC7">
        <w:rPr>
          <w:rFonts w:cstheme="minorHAnsi"/>
          <w:noProof/>
          <w:lang w:val="en-US"/>
        </w:rPr>
        <w:drawing>
          <wp:anchor distT="0" distB="0" distL="114300" distR="114300" simplePos="0" relativeHeight="251658240" behindDoc="1" locked="0" layoutInCell="1" allowOverlap="1" wp14:anchorId="1D58D6EE" wp14:editId="17A23410">
            <wp:simplePos x="0" y="0"/>
            <wp:positionH relativeFrom="column">
              <wp:posOffset>2008055</wp:posOffset>
            </wp:positionH>
            <wp:positionV relativeFrom="paragraph">
              <wp:posOffset>-250672</wp:posOffset>
            </wp:positionV>
            <wp:extent cx="2150110" cy="676275"/>
            <wp:effectExtent l="0" t="0" r="2540" b="9525"/>
            <wp:wrapNone/>
            <wp:docPr id="2" name="Picture 2" descr="Huron_Theology_Horiz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ron_Theology_Horiz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011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2C2698" w:rsidRPr="00382FC7">
        <w:rPr>
          <w:rFonts w:cstheme="minorHAnsi"/>
        </w:rPr>
        <w:tab/>
      </w:r>
    </w:p>
    <w:p w14:paraId="32EE6F65" w14:textId="4E1EA8CE" w:rsidR="00F36DEF" w:rsidRPr="00382FC7" w:rsidRDefault="00F36DEF" w:rsidP="00073EB8">
      <w:pPr>
        <w:jc w:val="right"/>
        <w:rPr>
          <w:rFonts w:cstheme="minorHAnsi"/>
        </w:rPr>
      </w:pPr>
    </w:p>
    <w:p w14:paraId="47F79255" w14:textId="042678F2" w:rsidR="00C22742" w:rsidRDefault="00C22742" w:rsidP="00073EB8">
      <w:pPr>
        <w:rPr>
          <w:rFonts w:cstheme="minorHAnsi"/>
          <w:b/>
          <w:bCs/>
        </w:rPr>
      </w:pPr>
    </w:p>
    <w:p w14:paraId="52FA7EAE" w14:textId="77777777" w:rsidR="0010440F" w:rsidRPr="00382FC7" w:rsidRDefault="0010440F" w:rsidP="00073EB8">
      <w:pPr>
        <w:rPr>
          <w:rFonts w:cstheme="minorHAnsi"/>
          <w:b/>
          <w:bCs/>
        </w:rPr>
      </w:pPr>
    </w:p>
    <w:p w14:paraId="45702B04" w14:textId="44B3FCD7" w:rsidR="00306E03" w:rsidRPr="00382FC7" w:rsidRDefault="00306E03" w:rsidP="00073EB8">
      <w:pPr>
        <w:rPr>
          <w:rFonts w:cstheme="minorHAnsi"/>
          <w:b/>
          <w:bCs/>
        </w:rPr>
      </w:pPr>
      <w:r w:rsidRPr="00382FC7">
        <w:rPr>
          <w:rFonts w:cstheme="minorHAnsi"/>
          <w:b/>
          <w:bCs/>
        </w:rPr>
        <w:t>Course Outline:  Winter 2022</w:t>
      </w:r>
    </w:p>
    <w:p w14:paraId="6F2A051D" w14:textId="14A90581" w:rsidR="00F36DEF" w:rsidRPr="00382FC7" w:rsidRDefault="004019DB" w:rsidP="00073EB8">
      <w:pPr>
        <w:rPr>
          <w:rFonts w:cstheme="minorHAnsi"/>
          <w:b/>
          <w:bCs/>
        </w:rPr>
      </w:pPr>
      <w:r w:rsidRPr="00382FC7">
        <w:rPr>
          <w:rFonts w:cstheme="minorHAnsi"/>
          <w:b/>
          <w:bCs/>
        </w:rPr>
        <w:t xml:space="preserve">SYSTTHEO </w:t>
      </w:r>
      <w:r w:rsidR="00306E03" w:rsidRPr="00382FC7">
        <w:rPr>
          <w:rFonts w:cstheme="minorHAnsi"/>
          <w:b/>
          <w:bCs/>
        </w:rPr>
        <w:t>5208B</w:t>
      </w:r>
    </w:p>
    <w:p w14:paraId="3A1320E6" w14:textId="37BA8BF8" w:rsidR="00F36DEF" w:rsidRPr="00382FC7" w:rsidRDefault="008F5ACB" w:rsidP="00073EB8">
      <w:pPr>
        <w:rPr>
          <w:rFonts w:cstheme="minorHAnsi"/>
          <w:b/>
          <w:bCs/>
        </w:rPr>
      </w:pPr>
      <w:r w:rsidRPr="00382FC7">
        <w:rPr>
          <w:rFonts w:cstheme="minorHAnsi"/>
          <w:b/>
          <w:bCs/>
        </w:rPr>
        <w:t>Key Issues in Islamic Theology</w:t>
      </w:r>
    </w:p>
    <w:p w14:paraId="1769D337" w14:textId="4397BA2A" w:rsidR="00F36DEF" w:rsidRPr="00382FC7" w:rsidRDefault="00F36DEF" w:rsidP="00073EB8">
      <w:pPr>
        <w:rPr>
          <w:rFonts w:cstheme="minorHAnsi"/>
        </w:rPr>
      </w:pPr>
    </w:p>
    <w:p w14:paraId="51D89143" w14:textId="77777777" w:rsidR="00F36DEF" w:rsidRPr="00382FC7" w:rsidRDefault="00F36DEF" w:rsidP="00073EB8">
      <w:pPr>
        <w:rPr>
          <w:rFonts w:cstheme="minorHAnsi"/>
          <w:bCs/>
        </w:rPr>
      </w:pPr>
      <w:r w:rsidRPr="00382FC7">
        <w:rPr>
          <w:rFonts w:cstheme="minorHAnsi"/>
          <w:b/>
          <w:bCs/>
        </w:rPr>
        <w:t xml:space="preserve">Instructor:  </w:t>
      </w:r>
      <w:r w:rsidRPr="00382FC7">
        <w:rPr>
          <w:rFonts w:cstheme="minorHAnsi"/>
          <w:b/>
          <w:bCs/>
        </w:rPr>
        <w:tab/>
      </w:r>
      <w:r w:rsidRPr="00382FC7">
        <w:rPr>
          <w:rFonts w:cstheme="minorHAnsi"/>
          <w:bCs/>
        </w:rPr>
        <w:t>Ingrid Mattson, PhD</w:t>
      </w:r>
    </w:p>
    <w:p w14:paraId="7C499E96" w14:textId="77777777" w:rsidR="00F36DEF" w:rsidRPr="00382FC7" w:rsidRDefault="00F36DEF" w:rsidP="00073EB8">
      <w:pPr>
        <w:rPr>
          <w:rFonts w:cstheme="minorHAnsi"/>
          <w:bCs/>
        </w:rPr>
      </w:pPr>
      <w:r w:rsidRPr="00382FC7">
        <w:rPr>
          <w:rFonts w:cstheme="minorHAnsi"/>
          <w:bCs/>
        </w:rPr>
        <w:tab/>
      </w:r>
      <w:r w:rsidRPr="00382FC7">
        <w:rPr>
          <w:rFonts w:cstheme="minorHAnsi"/>
          <w:bCs/>
        </w:rPr>
        <w:tab/>
        <w:t>London and Windsor Community Chair in Islamic Studies</w:t>
      </w:r>
    </w:p>
    <w:p w14:paraId="2F55EC3C" w14:textId="77777777" w:rsidR="00F36DEF" w:rsidRPr="00382FC7" w:rsidRDefault="00F36DEF" w:rsidP="00073EB8">
      <w:pPr>
        <w:ind w:left="720" w:firstLine="720"/>
        <w:rPr>
          <w:rFonts w:cstheme="minorHAnsi"/>
          <w:bCs/>
        </w:rPr>
      </w:pPr>
      <w:r w:rsidRPr="00382FC7">
        <w:rPr>
          <w:rFonts w:cstheme="minorHAnsi"/>
          <w:b/>
          <w:bCs/>
        </w:rPr>
        <w:t xml:space="preserve"> </w:t>
      </w:r>
      <w:hyperlink r:id="rId6" w:history="1">
        <w:r w:rsidRPr="00382FC7">
          <w:rPr>
            <w:rStyle w:val="Hyperlink"/>
            <w:rFonts w:cstheme="minorHAnsi"/>
            <w:bCs/>
            <w:color w:val="auto"/>
          </w:rPr>
          <w:t>imattson@uwo.ca</w:t>
        </w:r>
      </w:hyperlink>
    </w:p>
    <w:p w14:paraId="4F4A5831" w14:textId="5B1B7F7E" w:rsidR="00F36DEF" w:rsidRPr="00382FC7" w:rsidRDefault="00F36DEF" w:rsidP="00382FC7">
      <w:pPr>
        <w:rPr>
          <w:rFonts w:cstheme="minorHAnsi"/>
          <w:bCs/>
        </w:rPr>
      </w:pPr>
      <w:r w:rsidRPr="00382FC7">
        <w:rPr>
          <w:rFonts w:cstheme="minorHAnsi"/>
          <w:bCs/>
        </w:rPr>
        <w:tab/>
      </w:r>
      <w:r w:rsidRPr="00382FC7">
        <w:rPr>
          <w:rFonts w:cstheme="minorHAnsi"/>
          <w:bCs/>
        </w:rPr>
        <w:tab/>
        <w:t>Department of Theology, Room A227</w:t>
      </w:r>
    </w:p>
    <w:p w14:paraId="72263D0B" w14:textId="77777777" w:rsidR="00F36DEF" w:rsidRPr="00382FC7" w:rsidRDefault="00F36DEF" w:rsidP="00073EB8">
      <w:pPr>
        <w:rPr>
          <w:rFonts w:cstheme="minorHAnsi"/>
          <w:b/>
          <w:bCs/>
        </w:rPr>
      </w:pPr>
    </w:p>
    <w:p w14:paraId="4000C8C1" w14:textId="41CBA899" w:rsidR="00F36DEF" w:rsidRPr="00382FC7" w:rsidRDefault="00F36DEF" w:rsidP="00073EB8">
      <w:pPr>
        <w:rPr>
          <w:rFonts w:cstheme="minorHAnsi"/>
        </w:rPr>
      </w:pPr>
      <w:r w:rsidRPr="00382FC7">
        <w:rPr>
          <w:rFonts w:cstheme="minorHAnsi"/>
          <w:b/>
          <w:bCs/>
        </w:rPr>
        <w:t xml:space="preserve">Time and Days: </w:t>
      </w:r>
      <w:r w:rsidRPr="00382FC7">
        <w:rPr>
          <w:rFonts w:cstheme="minorHAnsi"/>
        </w:rPr>
        <w:t xml:space="preserve"> </w:t>
      </w:r>
      <w:r w:rsidR="00306E03" w:rsidRPr="00382FC7">
        <w:rPr>
          <w:rFonts w:cstheme="minorHAnsi"/>
        </w:rPr>
        <w:t>Thursdays 2:30 – 5:00pm</w:t>
      </w:r>
      <w:r w:rsidRPr="00382FC7">
        <w:rPr>
          <w:rFonts w:cstheme="minorHAnsi"/>
          <w:b/>
          <w:bCs/>
        </w:rPr>
        <w:tab/>
      </w:r>
      <w:r w:rsidR="00436A3C" w:rsidRPr="00382FC7">
        <w:rPr>
          <w:rFonts w:cstheme="minorHAnsi"/>
          <w:b/>
          <w:bCs/>
        </w:rPr>
        <w:t xml:space="preserve">Room: </w:t>
      </w:r>
      <w:r w:rsidR="00436A3C" w:rsidRPr="00382FC7">
        <w:rPr>
          <w:rFonts w:cstheme="minorHAnsi"/>
        </w:rPr>
        <w:t>H227/Remote</w:t>
      </w:r>
    </w:p>
    <w:p w14:paraId="457EF2CE" w14:textId="4F0B6B76" w:rsidR="00F36DEF" w:rsidRPr="00382FC7" w:rsidRDefault="00F36DEF" w:rsidP="00073EB8">
      <w:pPr>
        <w:rPr>
          <w:rFonts w:cstheme="minorHAnsi"/>
          <w:b/>
          <w:bCs/>
        </w:rPr>
      </w:pPr>
      <w:r w:rsidRPr="00382FC7">
        <w:rPr>
          <w:rFonts w:cstheme="minorHAnsi"/>
          <w:b/>
          <w:bCs/>
        </w:rPr>
        <w:t xml:space="preserve">Prerequisites:   </w:t>
      </w:r>
      <w:r w:rsidR="00CB46FC" w:rsidRPr="00382FC7">
        <w:rPr>
          <w:rFonts w:cstheme="minorHAnsi"/>
        </w:rPr>
        <w:t>At least one previous university-level course in Islamic Studies</w:t>
      </w:r>
    </w:p>
    <w:p w14:paraId="323598A3" w14:textId="77777777" w:rsidR="00F36DEF" w:rsidRPr="00382FC7" w:rsidRDefault="00F36DEF" w:rsidP="00073EB8">
      <w:pPr>
        <w:rPr>
          <w:rFonts w:cstheme="minorHAnsi"/>
          <w:b/>
          <w:bCs/>
        </w:rPr>
      </w:pPr>
    </w:p>
    <w:p w14:paraId="3DCD07C4" w14:textId="6046088B" w:rsidR="00CB46FC" w:rsidRPr="00382FC7" w:rsidRDefault="00F36DEF" w:rsidP="000A3355">
      <w:pPr>
        <w:pStyle w:val="ListParagraph"/>
        <w:ind w:left="0"/>
        <w:rPr>
          <w:rFonts w:asciiTheme="minorHAnsi" w:hAnsiTheme="minorHAnsi" w:cstheme="minorHAnsi"/>
        </w:rPr>
      </w:pPr>
      <w:r w:rsidRPr="00382FC7">
        <w:rPr>
          <w:rFonts w:asciiTheme="minorHAnsi" w:hAnsiTheme="minorHAnsi" w:cstheme="minorHAnsi"/>
          <w:b/>
          <w:bCs/>
        </w:rPr>
        <w:t xml:space="preserve">Course description:  </w:t>
      </w:r>
      <w:r w:rsidR="00CB46FC" w:rsidRPr="00382FC7">
        <w:rPr>
          <w:rFonts w:asciiTheme="minorHAnsi" w:hAnsiTheme="minorHAnsi" w:cstheme="minorHAnsi"/>
        </w:rPr>
        <w:t>A study of the major theological issues addressed by traditional and modern Muslim theologians, such as the</w:t>
      </w:r>
      <w:r w:rsidR="000A3355" w:rsidRPr="00382FC7">
        <w:rPr>
          <w:rFonts w:asciiTheme="minorHAnsi" w:hAnsiTheme="minorHAnsi" w:cstheme="minorHAnsi"/>
        </w:rPr>
        <w:t xml:space="preserve"> attributes of God, revelation and reason, moral epistemology, </w:t>
      </w:r>
      <w:r w:rsidR="00CB46FC" w:rsidRPr="00382FC7">
        <w:rPr>
          <w:rFonts w:asciiTheme="minorHAnsi" w:hAnsiTheme="minorHAnsi" w:cstheme="minorHAnsi"/>
        </w:rPr>
        <w:t>human freedom and responsibility, suffering and religious pluralism. </w:t>
      </w:r>
    </w:p>
    <w:p w14:paraId="4A077371" w14:textId="5F9F8CAF" w:rsidR="00F36DEF" w:rsidRPr="00382FC7" w:rsidRDefault="00F36DEF" w:rsidP="00073EB8">
      <w:pPr>
        <w:rPr>
          <w:rFonts w:cstheme="minorHAnsi"/>
        </w:rPr>
      </w:pPr>
    </w:p>
    <w:p w14:paraId="54C063D6" w14:textId="7CB890F0" w:rsidR="00CB46FC" w:rsidRPr="00382FC7" w:rsidRDefault="00CB46FC" w:rsidP="00073EB8">
      <w:pPr>
        <w:rPr>
          <w:rFonts w:cstheme="minorHAnsi"/>
          <w:b/>
          <w:bCs/>
        </w:rPr>
      </w:pPr>
      <w:r w:rsidRPr="00382FC7">
        <w:rPr>
          <w:rFonts w:cstheme="minorHAnsi"/>
          <w:b/>
          <w:bCs/>
        </w:rPr>
        <w:t>Learning Goals</w:t>
      </w:r>
      <w:r w:rsidR="00151DAF" w:rsidRPr="00382FC7">
        <w:rPr>
          <w:rFonts w:cstheme="minorHAnsi"/>
          <w:b/>
          <w:bCs/>
        </w:rPr>
        <w:t xml:space="preserve">: </w:t>
      </w:r>
      <w:r w:rsidR="00151DAF" w:rsidRPr="00382FC7">
        <w:rPr>
          <w:rFonts w:cstheme="minorHAnsi"/>
        </w:rPr>
        <w:t>Upon successful completion of this course</w:t>
      </w:r>
      <w:r w:rsidRPr="00382FC7">
        <w:rPr>
          <w:rFonts w:cstheme="minorHAnsi"/>
        </w:rPr>
        <w:t>, a student should be able to:</w:t>
      </w:r>
    </w:p>
    <w:p w14:paraId="73C2FD8D" w14:textId="77777777" w:rsidR="00CB46FC" w:rsidRPr="00382FC7" w:rsidRDefault="00CB46FC" w:rsidP="00073EB8">
      <w:pPr>
        <w:pStyle w:val="ListParagraph"/>
        <w:numPr>
          <w:ilvl w:val="0"/>
          <w:numId w:val="12"/>
        </w:numPr>
        <w:rPr>
          <w:rFonts w:asciiTheme="minorHAnsi" w:hAnsiTheme="minorHAnsi" w:cstheme="minorHAnsi"/>
        </w:rPr>
      </w:pPr>
      <w:r w:rsidRPr="00382FC7">
        <w:rPr>
          <w:rFonts w:asciiTheme="minorHAnsi" w:hAnsiTheme="minorHAnsi" w:cstheme="minorHAnsi"/>
        </w:rPr>
        <w:t>Articulate the key concerns of classical Islamic theology and identify the majority positions of the dominant schools of thought with respect to these concerns</w:t>
      </w:r>
    </w:p>
    <w:p w14:paraId="1A86113F" w14:textId="77777777" w:rsidR="00CB46FC" w:rsidRPr="00382FC7" w:rsidRDefault="00CB46FC" w:rsidP="00073EB8">
      <w:pPr>
        <w:pStyle w:val="ListParagraph"/>
        <w:numPr>
          <w:ilvl w:val="0"/>
          <w:numId w:val="12"/>
        </w:numPr>
        <w:rPr>
          <w:rFonts w:asciiTheme="minorHAnsi" w:hAnsiTheme="minorHAnsi" w:cstheme="minorHAnsi"/>
        </w:rPr>
      </w:pPr>
      <w:r w:rsidRPr="00382FC7">
        <w:rPr>
          <w:rFonts w:asciiTheme="minorHAnsi" w:hAnsiTheme="minorHAnsi" w:cstheme="minorHAnsi"/>
        </w:rPr>
        <w:t xml:space="preserve">Describe the major historical, political and cultural factors which shaped the trajectory of Islamic theology in the formative period </w:t>
      </w:r>
    </w:p>
    <w:p w14:paraId="4EA5C4D3" w14:textId="487CAB4B" w:rsidR="00CB46FC" w:rsidRPr="00382FC7" w:rsidRDefault="00CB46FC" w:rsidP="00073EB8">
      <w:pPr>
        <w:pStyle w:val="ListParagraph"/>
        <w:numPr>
          <w:ilvl w:val="0"/>
          <w:numId w:val="12"/>
        </w:numPr>
        <w:rPr>
          <w:rFonts w:asciiTheme="minorHAnsi" w:hAnsiTheme="minorHAnsi" w:cstheme="minorHAnsi"/>
        </w:rPr>
      </w:pPr>
      <w:r w:rsidRPr="00382FC7">
        <w:rPr>
          <w:rFonts w:asciiTheme="minorHAnsi" w:hAnsiTheme="minorHAnsi" w:cstheme="minorHAnsi"/>
        </w:rPr>
        <w:t>Undertake a historical-critical analysis of an Islamic creedal statement</w:t>
      </w:r>
    </w:p>
    <w:p w14:paraId="71C43183" w14:textId="413CA8CB" w:rsidR="00CB46FC" w:rsidRPr="00382FC7" w:rsidRDefault="00CB46FC" w:rsidP="00073EB8">
      <w:pPr>
        <w:pStyle w:val="ListParagraph"/>
        <w:numPr>
          <w:ilvl w:val="0"/>
          <w:numId w:val="12"/>
        </w:numPr>
        <w:rPr>
          <w:rFonts w:asciiTheme="minorHAnsi" w:hAnsiTheme="minorHAnsi" w:cstheme="minorHAnsi"/>
        </w:rPr>
      </w:pPr>
      <w:r w:rsidRPr="00382FC7">
        <w:rPr>
          <w:rFonts w:asciiTheme="minorHAnsi" w:hAnsiTheme="minorHAnsi" w:cstheme="minorHAnsi"/>
        </w:rPr>
        <w:t>Identify several theological issues and methods which have taken prominence since the emergence of modernity</w:t>
      </w:r>
    </w:p>
    <w:p w14:paraId="06E4F722" w14:textId="65ECF5FC" w:rsidR="00CB46FC" w:rsidRPr="00382FC7" w:rsidRDefault="00CB46FC" w:rsidP="00073EB8">
      <w:pPr>
        <w:pStyle w:val="ListParagraph"/>
        <w:numPr>
          <w:ilvl w:val="0"/>
          <w:numId w:val="12"/>
        </w:numPr>
        <w:rPr>
          <w:rFonts w:asciiTheme="minorHAnsi" w:hAnsiTheme="minorHAnsi" w:cstheme="minorHAnsi"/>
        </w:rPr>
      </w:pPr>
      <w:r w:rsidRPr="00382FC7">
        <w:rPr>
          <w:rFonts w:asciiTheme="minorHAnsi" w:hAnsiTheme="minorHAnsi" w:cstheme="minorHAnsi"/>
        </w:rPr>
        <w:t>Identify and access primary and secondary sources for research in Islamic theology</w:t>
      </w:r>
    </w:p>
    <w:p w14:paraId="53D9DBAB" w14:textId="77777777" w:rsidR="00CB46FC" w:rsidRPr="00382FC7" w:rsidRDefault="00CB46FC" w:rsidP="00073EB8">
      <w:pPr>
        <w:rPr>
          <w:rFonts w:cstheme="minorHAnsi"/>
        </w:rPr>
      </w:pPr>
    </w:p>
    <w:p w14:paraId="4E254FCB" w14:textId="7206DDB3" w:rsidR="00204C8E" w:rsidRPr="00382FC7" w:rsidRDefault="00382FC7" w:rsidP="00A965EB">
      <w:pPr>
        <w:rPr>
          <w:rFonts w:cstheme="minorHAnsi"/>
          <w:b/>
        </w:rPr>
      </w:pPr>
      <w:r w:rsidRPr="00382FC7">
        <w:rPr>
          <w:rFonts w:cstheme="minorHAnsi"/>
          <w:b/>
        </w:rPr>
        <w:t>Required Text</w:t>
      </w:r>
      <w:r w:rsidR="00F36DEF" w:rsidRPr="00382FC7">
        <w:rPr>
          <w:rFonts w:cstheme="minorHAnsi"/>
          <w:b/>
        </w:rPr>
        <w:t>:</w:t>
      </w:r>
      <w:r w:rsidR="00A965EB" w:rsidRPr="00382FC7">
        <w:rPr>
          <w:rFonts w:cstheme="minorHAnsi"/>
          <w:b/>
        </w:rPr>
        <w:t xml:space="preserve"> </w:t>
      </w:r>
      <w:r w:rsidR="00182387" w:rsidRPr="00382FC7">
        <w:rPr>
          <w:rFonts w:cstheme="minorHAnsi"/>
          <w:bCs/>
          <w:i/>
          <w:iCs/>
        </w:rPr>
        <w:t xml:space="preserve">The Cambridge Companion to Classical Islamic Theology. </w:t>
      </w:r>
      <w:r w:rsidR="00182387" w:rsidRPr="00382FC7">
        <w:rPr>
          <w:rFonts w:cstheme="minorHAnsi"/>
          <w:bCs/>
        </w:rPr>
        <w:t xml:space="preserve">Edited by Tim Winter. Cambridge University Press, 2008. </w:t>
      </w:r>
      <w:r w:rsidR="003D13E9" w:rsidRPr="00382FC7">
        <w:rPr>
          <w:rFonts w:cstheme="minorHAnsi"/>
          <w:bCs/>
        </w:rPr>
        <w:t xml:space="preserve"> </w:t>
      </w:r>
      <w:r w:rsidR="00204C8E" w:rsidRPr="00382FC7">
        <w:rPr>
          <w:rFonts w:cstheme="minorHAnsi"/>
        </w:rPr>
        <w:t>Available</w:t>
      </w:r>
      <w:r w:rsidR="003D13E9" w:rsidRPr="00382FC7">
        <w:rPr>
          <w:rFonts w:cstheme="minorHAnsi"/>
        </w:rPr>
        <w:t xml:space="preserve"> in paperback from online book sellers and digitally</w:t>
      </w:r>
      <w:r w:rsidR="00204C8E" w:rsidRPr="00382FC7">
        <w:rPr>
          <w:rFonts w:cstheme="minorHAnsi"/>
        </w:rPr>
        <w:t xml:space="preserve"> through Western library. </w:t>
      </w:r>
      <w:r w:rsidR="002E57E8" w:rsidRPr="00382FC7">
        <w:rPr>
          <w:rFonts w:cstheme="minorHAnsi"/>
        </w:rPr>
        <w:t>Other readings will be available on OWL in the “Resources” folder.</w:t>
      </w:r>
    </w:p>
    <w:p w14:paraId="6212DBF4" w14:textId="77777777" w:rsidR="00181EA4" w:rsidRPr="00382FC7" w:rsidRDefault="00181EA4" w:rsidP="00073EB8">
      <w:pPr>
        <w:rPr>
          <w:rFonts w:cstheme="minorHAnsi"/>
          <w:b/>
          <w:bCs/>
        </w:rPr>
      </w:pPr>
    </w:p>
    <w:p w14:paraId="7960FF1D" w14:textId="0CC95125" w:rsidR="0027757E" w:rsidRPr="00382FC7" w:rsidRDefault="0049278F" w:rsidP="00073EB8">
      <w:pPr>
        <w:rPr>
          <w:rFonts w:cstheme="minorHAnsi"/>
          <w:b/>
          <w:bCs/>
        </w:rPr>
      </w:pPr>
      <w:r w:rsidRPr="00382FC7">
        <w:rPr>
          <w:rFonts w:cstheme="minorHAnsi"/>
          <w:b/>
          <w:bCs/>
        </w:rPr>
        <w:t>Assignments and Grading:</w:t>
      </w:r>
    </w:p>
    <w:p w14:paraId="7E000497" w14:textId="77777777" w:rsidR="00382FC7" w:rsidRPr="00382FC7" w:rsidRDefault="0049278F" w:rsidP="00382FC7">
      <w:pPr>
        <w:pStyle w:val="ListParagraph"/>
        <w:numPr>
          <w:ilvl w:val="0"/>
          <w:numId w:val="16"/>
        </w:numPr>
        <w:rPr>
          <w:rFonts w:asciiTheme="minorHAnsi" w:hAnsiTheme="minorHAnsi" w:cstheme="minorHAnsi"/>
        </w:rPr>
      </w:pPr>
      <w:r w:rsidRPr="00382FC7">
        <w:rPr>
          <w:rFonts w:asciiTheme="minorHAnsi" w:hAnsiTheme="minorHAnsi" w:cstheme="minorHAnsi"/>
        </w:rPr>
        <w:t>Participation</w:t>
      </w:r>
      <w:r w:rsidR="00382FC7" w:rsidRPr="00382FC7">
        <w:rPr>
          <w:rFonts w:asciiTheme="minorHAnsi" w:hAnsiTheme="minorHAnsi" w:cstheme="minorHAnsi"/>
        </w:rPr>
        <w:t xml:space="preserve"> (10%) – You will earn one point for each class you attend and in which you actively participate up to a maximum of 10 points</w:t>
      </w:r>
    </w:p>
    <w:p w14:paraId="2A0323C2" w14:textId="3B7E794B" w:rsidR="00382FC7" w:rsidRPr="00382FC7" w:rsidRDefault="0049278F" w:rsidP="00382FC7">
      <w:pPr>
        <w:pStyle w:val="ListParagraph"/>
        <w:numPr>
          <w:ilvl w:val="0"/>
          <w:numId w:val="16"/>
        </w:numPr>
        <w:rPr>
          <w:rFonts w:asciiTheme="minorHAnsi" w:hAnsiTheme="minorHAnsi" w:cstheme="minorHAnsi"/>
        </w:rPr>
      </w:pPr>
      <w:r w:rsidRPr="00382FC7">
        <w:rPr>
          <w:rFonts w:asciiTheme="minorHAnsi" w:hAnsiTheme="minorHAnsi" w:cstheme="minorHAnsi"/>
        </w:rPr>
        <w:t>R</w:t>
      </w:r>
      <w:r w:rsidR="00382FC7" w:rsidRPr="00382FC7">
        <w:rPr>
          <w:rFonts w:asciiTheme="minorHAnsi" w:hAnsiTheme="minorHAnsi" w:cstheme="minorHAnsi"/>
        </w:rPr>
        <w:t>eading Notes (2</w:t>
      </w:r>
      <w:r w:rsidRPr="00382FC7">
        <w:rPr>
          <w:rFonts w:asciiTheme="minorHAnsi" w:hAnsiTheme="minorHAnsi" w:cstheme="minorHAnsi"/>
        </w:rPr>
        <w:t>0%</w:t>
      </w:r>
      <w:r w:rsidR="00382FC7" w:rsidRPr="00382FC7">
        <w:rPr>
          <w:rFonts w:asciiTheme="minorHAnsi" w:hAnsiTheme="minorHAnsi" w:cstheme="minorHAnsi"/>
        </w:rPr>
        <w:t xml:space="preserve">) - Submit to the Dropbox, before the start of class, your reading notes for that week. Reading notes are typed or handwritten technical terms, individuals or key points from the readings. You might want to also organize a separate glossary for your own use. Two points a week for a maximum of 20 points. </w:t>
      </w:r>
    </w:p>
    <w:p w14:paraId="223AA0FB" w14:textId="091B998A" w:rsidR="0049278F" w:rsidRPr="00382FC7" w:rsidRDefault="0049278F" w:rsidP="00382FC7">
      <w:pPr>
        <w:pStyle w:val="ListParagraph"/>
        <w:numPr>
          <w:ilvl w:val="0"/>
          <w:numId w:val="16"/>
        </w:numPr>
        <w:rPr>
          <w:rFonts w:asciiTheme="minorHAnsi" w:hAnsiTheme="minorHAnsi" w:cstheme="minorHAnsi"/>
        </w:rPr>
      </w:pPr>
      <w:r w:rsidRPr="00382FC7">
        <w:rPr>
          <w:rFonts w:asciiTheme="minorHAnsi" w:hAnsiTheme="minorHAnsi" w:cstheme="minorHAnsi"/>
        </w:rPr>
        <w:t>Book Report</w:t>
      </w:r>
      <w:r w:rsidR="00382FC7" w:rsidRPr="00382FC7">
        <w:rPr>
          <w:rFonts w:asciiTheme="minorHAnsi" w:hAnsiTheme="minorHAnsi" w:cstheme="minorHAnsi"/>
        </w:rPr>
        <w:t xml:space="preserve"> (20%) - Approx. </w:t>
      </w:r>
      <w:r w:rsidR="006D5027" w:rsidRPr="00382FC7">
        <w:rPr>
          <w:rFonts w:asciiTheme="minorHAnsi" w:hAnsiTheme="minorHAnsi" w:cstheme="minorHAnsi"/>
        </w:rPr>
        <w:t>15</w:t>
      </w:r>
      <w:r w:rsidR="00382FC7" w:rsidRPr="00382FC7">
        <w:rPr>
          <w:rFonts w:asciiTheme="minorHAnsi" w:hAnsiTheme="minorHAnsi" w:cstheme="minorHAnsi"/>
        </w:rPr>
        <w:t xml:space="preserve">00 words; </w:t>
      </w:r>
      <w:r w:rsidR="00D15B84" w:rsidRPr="00382FC7">
        <w:rPr>
          <w:rFonts w:asciiTheme="minorHAnsi" w:hAnsiTheme="minorHAnsi" w:cstheme="minorHAnsi"/>
        </w:rPr>
        <w:t xml:space="preserve">submitted to the instructor and </w:t>
      </w:r>
      <w:r w:rsidR="00F61528" w:rsidRPr="00382FC7">
        <w:rPr>
          <w:rFonts w:asciiTheme="minorHAnsi" w:hAnsiTheme="minorHAnsi" w:cstheme="minorHAnsi"/>
        </w:rPr>
        <w:t xml:space="preserve">short overview </w:t>
      </w:r>
      <w:r w:rsidR="005B247B" w:rsidRPr="00382FC7">
        <w:rPr>
          <w:rFonts w:asciiTheme="minorHAnsi" w:hAnsiTheme="minorHAnsi" w:cstheme="minorHAnsi"/>
        </w:rPr>
        <w:t xml:space="preserve">presented </w:t>
      </w:r>
      <w:r w:rsidR="00CD14B5" w:rsidRPr="00382FC7">
        <w:rPr>
          <w:rFonts w:asciiTheme="minorHAnsi" w:hAnsiTheme="minorHAnsi" w:cstheme="minorHAnsi"/>
        </w:rPr>
        <w:t>in class</w:t>
      </w:r>
    </w:p>
    <w:p w14:paraId="1B9D56CB" w14:textId="77777777" w:rsidR="00382FC7" w:rsidRPr="00382FC7" w:rsidRDefault="00F61528" w:rsidP="00382FC7">
      <w:pPr>
        <w:pStyle w:val="ListParagraph"/>
        <w:numPr>
          <w:ilvl w:val="0"/>
          <w:numId w:val="16"/>
        </w:numPr>
        <w:rPr>
          <w:rFonts w:asciiTheme="minorHAnsi" w:hAnsiTheme="minorHAnsi" w:cstheme="minorHAnsi"/>
        </w:rPr>
      </w:pPr>
      <w:r w:rsidRPr="00382FC7">
        <w:rPr>
          <w:rFonts w:asciiTheme="minorHAnsi" w:hAnsiTheme="minorHAnsi" w:cstheme="minorHAnsi"/>
        </w:rPr>
        <w:t>Oral summary of an assigned reading</w:t>
      </w:r>
      <w:r w:rsidR="00572C24" w:rsidRPr="00382FC7">
        <w:rPr>
          <w:rFonts w:asciiTheme="minorHAnsi" w:hAnsiTheme="minorHAnsi" w:cstheme="minorHAnsi"/>
        </w:rPr>
        <w:t xml:space="preserve"> </w:t>
      </w:r>
      <w:r w:rsidRPr="00382FC7">
        <w:rPr>
          <w:rFonts w:asciiTheme="minorHAnsi" w:hAnsiTheme="minorHAnsi" w:cstheme="minorHAnsi"/>
        </w:rPr>
        <w:t>– 2 x 10% = 2</w:t>
      </w:r>
      <w:r w:rsidR="0049278F" w:rsidRPr="00382FC7">
        <w:rPr>
          <w:rFonts w:asciiTheme="minorHAnsi" w:hAnsiTheme="minorHAnsi" w:cstheme="minorHAnsi"/>
        </w:rPr>
        <w:t>0%</w:t>
      </w:r>
    </w:p>
    <w:p w14:paraId="165AE9F4" w14:textId="07D82473" w:rsidR="00382FC7" w:rsidRPr="00382FC7" w:rsidRDefault="00572C24" w:rsidP="00382FC7">
      <w:pPr>
        <w:pStyle w:val="ListParagraph"/>
        <w:numPr>
          <w:ilvl w:val="0"/>
          <w:numId w:val="16"/>
        </w:numPr>
        <w:rPr>
          <w:rFonts w:asciiTheme="minorHAnsi" w:hAnsiTheme="minorHAnsi" w:cstheme="minorHAnsi"/>
        </w:rPr>
      </w:pPr>
      <w:r w:rsidRPr="00382FC7">
        <w:rPr>
          <w:rFonts w:asciiTheme="minorHAnsi" w:hAnsiTheme="minorHAnsi" w:cstheme="minorHAnsi"/>
        </w:rPr>
        <w:t>Research Paper</w:t>
      </w:r>
      <w:r w:rsidR="00382FC7" w:rsidRPr="00382FC7">
        <w:rPr>
          <w:rFonts w:asciiTheme="minorHAnsi" w:hAnsiTheme="minorHAnsi" w:cstheme="minorHAnsi"/>
        </w:rPr>
        <w:t xml:space="preserve"> (30%) –</w:t>
      </w:r>
      <w:r w:rsidRPr="00382FC7">
        <w:rPr>
          <w:rFonts w:asciiTheme="minorHAnsi" w:hAnsiTheme="minorHAnsi" w:cstheme="minorHAnsi"/>
        </w:rPr>
        <w:t xml:space="preserve"> among the topics that could be addressed: how a specific theological concept or issue is treated by one or more Islamic theologians; intellectual profile of a specific theologian; description of the evolution of an Islamic school of theology; exploration of the theological underpinnings of a Muslim political movement, etc. words </w:t>
      </w:r>
      <w:r w:rsidR="00C77705" w:rsidRPr="00382FC7">
        <w:rPr>
          <w:rFonts w:asciiTheme="minorHAnsi" w:hAnsiTheme="minorHAnsi" w:cstheme="minorHAnsi"/>
        </w:rPr>
        <w:t>(</w:t>
      </w:r>
      <w:r w:rsidR="00382FC7" w:rsidRPr="00382FC7">
        <w:rPr>
          <w:rFonts w:asciiTheme="minorHAnsi" w:hAnsiTheme="minorHAnsi" w:cstheme="minorHAnsi"/>
        </w:rPr>
        <w:t xml:space="preserve">approx. </w:t>
      </w:r>
      <w:r w:rsidR="00C77705" w:rsidRPr="00382FC7">
        <w:rPr>
          <w:rFonts w:asciiTheme="minorHAnsi" w:hAnsiTheme="minorHAnsi" w:cstheme="minorHAnsi"/>
        </w:rPr>
        <w:t>3000</w:t>
      </w:r>
      <w:r w:rsidR="00D15B84" w:rsidRPr="00382FC7">
        <w:rPr>
          <w:rFonts w:asciiTheme="minorHAnsi" w:hAnsiTheme="minorHAnsi" w:cstheme="minorHAnsi"/>
        </w:rPr>
        <w:t xml:space="preserve"> words)</w:t>
      </w:r>
    </w:p>
    <w:p w14:paraId="54B634A2" w14:textId="6EDABDD6" w:rsidR="007F5350" w:rsidRPr="00382FC7" w:rsidRDefault="008728BA" w:rsidP="00073EB8">
      <w:pPr>
        <w:rPr>
          <w:rFonts w:cstheme="minorHAnsi"/>
        </w:rPr>
      </w:pPr>
      <w:r w:rsidRPr="00382FC7">
        <w:rPr>
          <w:rFonts w:cstheme="minorHAnsi"/>
        </w:rPr>
        <w:br w:type="page"/>
      </w:r>
    </w:p>
    <w:p w14:paraId="7B4E01BE" w14:textId="77777777" w:rsidR="00CE78DD" w:rsidRPr="00382FC7" w:rsidRDefault="00CE78DD" w:rsidP="00073EB8">
      <w:pPr>
        <w:pStyle w:val="ListParagraph"/>
        <w:ind w:left="0"/>
        <w:jc w:val="center"/>
        <w:rPr>
          <w:rFonts w:asciiTheme="minorHAnsi" w:hAnsiTheme="minorHAnsi" w:cstheme="minorHAnsi"/>
          <w:b/>
          <w:bCs/>
        </w:rPr>
      </w:pPr>
      <w:r w:rsidRPr="00382FC7">
        <w:rPr>
          <w:rFonts w:asciiTheme="minorHAnsi" w:hAnsiTheme="minorHAnsi" w:cstheme="minorHAnsi"/>
          <w:b/>
          <w:bCs/>
        </w:rPr>
        <w:lastRenderedPageBreak/>
        <w:t>SCHEDULE</w:t>
      </w:r>
    </w:p>
    <w:p w14:paraId="34DF000C" w14:textId="5CA9C732" w:rsidR="006431F8" w:rsidRPr="00382FC7" w:rsidRDefault="003F2997" w:rsidP="003F2997">
      <w:pPr>
        <w:jc w:val="center"/>
        <w:rPr>
          <w:rFonts w:cstheme="minorHAnsi"/>
        </w:rPr>
      </w:pPr>
      <w:r>
        <w:rPr>
          <w:rFonts w:cstheme="minorHAnsi"/>
        </w:rPr>
        <w:t>*Subject to change*</w:t>
      </w:r>
    </w:p>
    <w:p w14:paraId="0C996C27" w14:textId="2A8951EC" w:rsidR="00B96253" w:rsidRPr="00382FC7" w:rsidRDefault="00B96253" w:rsidP="00073EB8">
      <w:pPr>
        <w:rPr>
          <w:rFonts w:cstheme="minorHAnsi"/>
        </w:rPr>
      </w:pPr>
    </w:p>
    <w:p w14:paraId="367AB186" w14:textId="3D6B412F" w:rsidR="002C2698" w:rsidRPr="00382FC7" w:rsidRDefault="00BE4D11" w:rsidP="008201AB">
      <w:pPr>
        <w:rPr>
          <w:rFonts w:cstheme="minorHAnsi"/>
        </w:rPr>
      </w:pPr>
      <w:r w:rsidRPr="00382FC7">
        <w:rPr>
          <w:rFonts w:cstheme="minorHAnsi"/>
          <w:b/>
          <w:bCs/>
        </w:rPr>
        <w:t>Class One: January 13</w:t>
      </w:r>
      <w:r w:rsidR="008F5ACB" w:rsidRPr="00382FC7">
        <w:rPr>
          <w:rFonts w:cstheme="minorHAnsi"/>
          <w:b/>
          <w:bCs/>
        </w:rPr>
        <w:t xml:space="preserve"> </w:t>
      </w:r>
      <w:r w:rsidR="0010440F">
        <w:rPr>
          <w:rFonts w:cstheme="minorHAnsi"/>
          <w:b/>
          <w:bCs/>
        </w:rPr>
        <w:t>– Introduction to class</w:t>
      </w:r>
    </w:p>
    <w:p w14:paraId="08A320B5" w14:textId="1CBD7FD7" w:rsidR="002F00A3" w:rsidRPr="00382FC7" w:rsidRDefault="002F00A3" w:rsidP="00073EB8">
      <w:pPr>
        <w:rPr>
          <w:rFonts w:cstheme="minorHAnsi"/>
        </w:rPr>
      </w:pPr>
    </w:p>
    <w:p w14:paraId="2A7D11BD" w14:textId="59C87CE7" w:rsidR="008201AB" w:rsidRPr="00382FC7" w:rsidRDefault="00BE4D11" w:rsidP="00382FC7">
      <w:pPr>
        <w:rPr>
          <w:rFonts w:cstheme="minorHAnsi"/>
          <w:b/>
          <w:bCs/>
        </w:rPr>
      </w:pPr>
      <w:r w:rsidRPr="00382FC7">
        <w:rPr>
          <w:rFonts w:cstheme="minorHAnsi"/>
          <w:b/>
          <w:bCs/>
        </w:rPr>
        <w:t>Class Two: January 20</w:t>
      </w:r>
      <w:r w:rsidR="008F5ACB" w:rsidRPr="00382FC7">
        <w:rPr>
          <w:rFonts w:cstheme="minorHAnsi"/>
          <w:b/>
          <w:bCs/>
        </w:rPr>
        <w:t xml:space="preserve"> </w:t>
      </w:r>
      <w:r w:rsidR="008201AB" w:rsidRPr="00382FC7">
        <w:rPr>
          <w:rFonts w:cstheme="minorHAnsi"/>
          <w:b/>
          <w:bCs/>
        </w:rPr>
        <w:t xml:space="preserve">– </w:t>
      </w:r>
      <w:r w:rsidR="00382FC7" w:rsidRPr="00382FC7">
        <w:rPr>
          <w:rFonts w:cstheme="minorHAnsi"/>
          <w:b/>
          <w:bCs/>
        </w:rPr>
        <w:t>Foundations of Islamic Theology</w:t>
      </w:r>
    </w:p>
    <w:p w14:paraId="76483613" w14:textId="77777777" w:rsidR="008201AB" w:rsidRPr="00382FC7" w:rsidRDefault="008201AB" w:rsidP="008201AB">
      <w:pPr>
        <w:pStyle w:val="ListParagraph"/>
        <w:numPr>
          <w:ilvl w:val="0"/>
          <w:numId w:val="4"/>
        </w:numPr>
        <w:rPr>
          <w:rFonts w:asciiTheme="minorHAnsi" w:hAnsiTheme="minorHAnsi" w:cstheme="minorHAnsi"/>
        </w:rPr>
      </w:pPr>
      <w:r w:rsidRPr="00382FC7">
        <w:rPr>
          <w:rFonts w:asciiTheme="minorHAnsi" w:hAnsiTheme="minorHAnsi" w:cstheme="minorHAnsi"/>
        </w:rPr>
        <w:t xml:space="preserve">M.A.S. Abdel Haleem, “Qur’an and Hadith,” Chapter I of </w:t>
      </w:r>
      <w:r w:rsidRPr="00382FC7">
        <w:rPr>
          <w:rFonts w:asciiTheme="minorHAnsi" w:hAnsiTheme="minorHAnsi" w:cstheme="minorHAnsi"/>
          <w:bCs/>
          <w:i/>
          <w:iCs/>
        </w:rPr>
        <w:t>The Cambridge Companion to Classical Islamic Theology.</w:t>
      </w:r>
    </w:p>
    <w:p w14:paraId="4B4F6D24" w14:textId="30F986C9" w:rsidR="008201AB" w:rsidRPr="00375CB9" w:rsidRDefault="008201AB" w:rsidP="008201AB">
      <w:pPr>
        <w:pStyle w:val="ListParagraph"/>
        <w:numPr>
          <w:ilvl w:val="0"/>
          <w:numId w:val="4"/>
        </w:numPr>
        <w:rPr>
          <w:rFonts w:asciiTheme="minorHAnsi" w:hAnsiTheme="minorHAnsi" w:cstheme="minorHAnsi"/>
        </w:rPr>
      </w:pPr>
      <w:r w:rsidRPr="00382FC7">
        <w:rPr>
          <w:rFonts w:asciiTheme="minorHAnsi" w:hAnsiTheme="minorHAnsi" w:cstheme="minorHAnsi"/>
        </w:rPr>
        <w:t xml:space="preserve">Khalid </w:t>
      </w:r>
      <w:proofErr w:type="spellStart"/>
      <w:r w:rsidRPr="00382FC7">
        <w:rPr>
          <w:rFonts w:asciiTheme="minorHAnsi" w:hAnsiTheme="minorHAnsi" w:cstheme="minorHAnsi"/>
        </w:rPr>
        <w:t>Blankinship</w:t>
      </w:r>
      <w:proofErr w:type="spellEnd"/>
      <w:r w:rsidRPr="00382FC7">
        <w:rPr>
          <w:rFonts w:asciiTheme="minorHAnsi" w:hAnsiTheme="minorHAnsi" w:cstheme="minorHAnsi"/>
        </w:rPr>
        <w:t xml:space="preserve">, “The Early Creed,” Chapter 2 of </w:t>
      </w:r>
      <w:r w:rsidRPr="00382FC7">
        <w:rPr>
          <w:rFonts w:asciiTheme="minorHAnsi" w:hAnsiTheme="minorHAnsi" w:cstheme="minorHAnsi"/>
          <w:bCs/>
          <w:i/>
          <w:iCs/>
        </w:rPr>
        <w:t>The Cambridge Companion to Classical Islamic Theology.</w:t>
      </w:r>
    </w:p>
    <w:p w14:paraId="6FB49CBE" w14:textId="545A2C9C" w:rsidR="00375CB9" w:rsidRPr="00375CB9" w:rsidRDefault="00F36983" w:rsidP="00375CB9">
      <w:pPr>
        <w:pStyle w:val="ListParagraph"/>
        <w:numPr>
          <w:ilvl w:val="0"/>
          <w:numId w:val="4"/>
        </w:numPr>
        <w:rPr>
          <w:rFonts w:asciiTheme="minorHAnsi" w:hAnsiTheme="minorHAnsi" w:cstheme="minorHAnsi"/>
        </w:rPr>
      </w:pPr>
      <w:r w:rsidRPr="004E55DF">
        <w:rPr>
          <w:rFonts w:asciiTheme="minorHAnsi" w:hAnsiTheme="minorHAnsi" w:cstheme="minorHAnsi"/>
          <w:u w:val="single"/>
        </w:rPr>
        <w:t>Enrichment:</w:t>
      </w:r>
      <w:r>
        <w:rPr>
          <w:rFonts w:asciiTheme="minorHAnsi" w:hAnsiTheme="minorHAnsi" w:cstheme="minorHAnsi"/>
        </w:rPr>
        <w:t xml:space="preserve"> This gives an overview of the issues we will be discussing for the next few weeks. </w:t>
      </w:r>
      <w:r w:rsidR="00375CB9" w:rsidRPr="00382FC7">
        <w:rPr>
          <w:rFonts w:asciiTheme="minorHAnsi" w:hAnsiTheme="minorHAnsi" w:cstheme="minorHAnsi"/>
        </w:rPr>
        <w:t xml:space="preserve">F.E. Peters, “Islamic Theology,” Chapter 8 of </w:t>
      </w:r>
      <w:r w:rsidR="00375CB9" w:rsidRPr="00382FC7">
        <w:rPr>
          <w:rFonts w:asciiTheme="minorHAnsi" w:hAnsiTheme="minorHAnsi" w:cstheme="minorHAnsi"/>
          <w:i/>
          <w:iCs/>
        </w:rPr>
        <w:t xml:space="preserve">A Reader on Classical Islam </w:t>
      </w:r>
      <w:r w:rsidR="00375CB9" w:rsidRPr="00382FC7">
        <w:rPr>
          <w:rFonts w:asciiTheme="minorHAnsi" w:hAnsiTheme="minorHAnsi" w:cstheme="minorHAnsi"/>
        </w:rPr>
        <w:t>(Princeton University Press, 1994).</w:t>
      </w:r>
    </w:p>
    <w:p w14:paraId="53ECB9CD" w14:textId="56B07D6B" w:rsidR="009220B8" w:rsidRPr="00382FC7" w:rsidRDefault="009220B8" w:rsidP="00073EB8">
      <w:pPr>
        <w:rPr>
          <w:rFonts w:cstheme="minorHAnsi"/>
        </w:rPr>
      </w:pPr>
    </w:p>
    <w:p w14:paraId="74680170" w14:textId="77777777" w:rsidR="008201AB" w:rsidRPr="00382FC7" w:rsidRDefault="00BE4D11" w:rsidP="008201AB">
      <w:pPr>
        <w:rPr>
          <w:rFonts w:cstheme="minorHAnsi"/>
          <w:b/>
          <w:bCs/>
        </w:rPr>
      </w:pPr>
      <w:r w:rsidRPr="00382FC7">
        <w:rPr>
          <w:rFonts w:cstheme="minorHAnsi"/>
          <w:b/>
          <w:bCs/>
        </w:rPr>
        <w:t>Class Three: January 27</w:t>
      </w:r>
      <w:r w:rsidR="008F5ACB" w:rsidRPr="00382FC7">
        <w:rPr>
          <w:rFonts w:cstheme="minorHAnsi"/>
          <w:b/>
          <w:bCs/>
        </w:rPr>
        <w:t xml:space="preserve"> </w:t>
      </w:r>
      <w:r w:rsidR="008201AB" w:rsidRPr="00382FC7">
        <w:rPr>
          <w:rFonts w:cstheme="minorHAnsi"/>
          <w:b/>
          <w:bCs/>
        </w:rPr>
        <w:t>– Classical Islamic Philosophy and Islamic Theology</w:t>
      </w:r>
    </w:p>
    <w:p w14:paraId="550C0AC4" w14:textId="77777777" w:rsidR="008201AB" w:rsidRPr="00382FC7" w:rsidRDefault="008201AB" w:rsidP="008201AB">
      <w:pPr>
        <w:pStyle w:val="ListParagraph"/>
        <w:numPr>
          <w:ilvl w:val="0"/>
          <w:numId w:val="4"/>
        </w:numPr>
        <w:rPr>
          <w:rFonts w:asciiTheme="minorHAnsi" w:hAnsiTheme="minorHAnsi" w:cstheme="minorHAnsi"/>
          <w:bCs/>
          <w:i/>
          <w:iCs/>
        </w:rPr>
      </w:pPr>
      <w:proofErr w:type="spellStart"/>
      <w:r w:rsidRPr="00382FC7">
        <w:rPr>
          <w:rFonts w:asciiTheme="minorHAnsi" w:hAnsiTheme="minorHAnsi" w:cstheme="minorHAnsi"/>
        </w:rPr>
        <w:t>Feryal</w:t>
      </w:r>
      <w:proofErr w:type="spellEnd"/>
      <w:r w:rsidRPr="00382FC7">
        <w:rPr>
          <w:rFonts w:asciiTheme="minorHAnsi" w:hAnsiTheme="minorHAnsi" w:cstheme="minorHAnsi"/>
        </w:rPr>
        <w:t xml:space="preserve"> Salem, “Freewill, </w:t>
      </w:r>
      <w:proofErr w:type="spellStart"/>
      <w:r w:rsidRPr="00382FC7">
        <w:rPr>
          <w:rFonts w:asciiTheme="minorHAnsi" w:hAnsiTheme="minorHAnsi" w:cstheme="minorHAnsi"/>
          <w:i/>
          <w:iCs/>
        </w:rPr>
        <w:t>Qadar</w:t>
      </w:r>
      <w:proofErr w:type="spellEnd"/>
      <w:r w:rsidRPr="00382FC7">
        <w:rPr>
          <w:rFonts w:asciiTheme="minorHAnsi" w:hAnsiTheme="minorHAnsi" w:cstheme="minorHAnsi"/>
          <w:i/>
          <w:iCs/>
        </w:rPr>
        <w:t xml:space="preserve">, </w:t>
      </w:r>
      <w:r w:rsidRPr="00382FC7">
        <w:rPr>
          <w:rFonts w:asciiTheme="minorHAnsi" w:hAnsiTheme="minorHAnsi" w:cstheme="minorHAnsi"/>
        </w:rPr>
        <w:t xml:space="preserve">and </w:t>
      </w:r>
      <w:proofErr w:type="spellStart"/>
      <w:r w:rsidRPr="00382FC7">
        <w:rPr>
          <w:rFonts w:asciiTheme="minorHAnsi" w:hAnsiTheme="minorHAnsi" w:cstheme="minorHAnsi"/>
          <w:i/>
          <w:iCs/>
        </w:rPr>
        <w:t>Kasb</w:t>
      </w:r>
      <w:proofErr w:type="spellEnd"/>
      <w:r w:rsidRPr="00382FC7">
        <w:rPr>
          <w:rFonts w:asciiTheme="minorHAnsi" w:hAnsiTheme="minorHAnsi" w:cstheme="minorHAnsi"/>
          <w:i/>
          <w:iCs/>
        </w:rPr>
        <w:t xml:space="preserve"> </w:t>
      </w:r>
      <w:r w:rsidRPr="00382FC7">
        <w:rPr>
          <w:rFonts w:asciiTheme="minorHAnsi" w:hAnsiTheme="minorHAnsi" w:cstheme="minorHAnsi"/>
        </w:rPr>
        <w:t xml:space="preserve">in the Epistle of </w:t>
      </w:r>
      <w:proofErr w:type="spellStart"/>
      <w:r w:rsidRPr="00382FC7">
        <w:rPr>
          <w:rFonts w:asciiTheme="minorHAnsi" w:hAnsiTheme="minorHAnsi" w:cstheme="minorHAnsi"/>
        </w:rPr>
        <w:t>Ḥasan</w:t>
      </w:r>
      <w:proofErr w:type="spellEnd"/>
      <w:r w:rsidRPr="00382FC7">
        <w:rPr>
          <w:rFonts w:asciiTheme="minorHAnsi" w:hAnsiTheme="minorHAnsi" w:cstheme="minorHAnsi"/>
        </w:rPr>
        <w:t xml:space="preserve"> al-</w:t>
      </w:r>
      <w:proofErr w:type="spellStart"/>
      <w:r w:rsidRPr="00382FC7">
        <w:rPr>
          <w:rFonts w:asciiTheme="minorHAnsi" w:hAnsiTheme="minorHAnsi" w:cstheme="minorHAnsi"/>
        </w:rPr>
        <w:t>Baṣrī</w:t>
      </w:r>
      <w:proofErr w:type="spellEnd"/>
      <w:r w:rsidRPr="00382FC7">
        <w:rPr>
          <w:rFonts w:asciiTheme="minorHAnsi" w:hAnsiTheme="minorHAnsi" w:cstheme="minorHAnsi"/>
        </w:rPr>
        <w:t xml:space="preserve"> to </w:t>
      </w:r>
      <w:proofErr w:type="spellStart"/>
      <w:r w:rsidRPr="00382FC7">
        <w:rPr>
          <w:rFonts w:asciiTheme="minorHAnsi" w:hAnsiTheme="minorHAnsi" w:cstheme="minorHAnsi"/>
        </w:rPr>
        <w:t>ʿAbd</w:t>
      </w:r>
      <w:proofErr w:type="spellEnd"/>
      <w:r w:rsidRPr="00382FC7">
        <w:rPr>
          <w:rFonts w:asciiTheme="minorHAnsi" w:hAnsiTheme="minorHAnsi" w:cstheme="minorHAnsi"/>
        </w:rPr>
        <w:t xml:space="preserve"> al-Malik”</w:t>
      </w:r>
    </w:p>
    <w:p w14:paraId="5DE4C457" w14:textId="51943565" w:rsidR="008201AB" w:rsidRPr="00F36983" w:rsidRDefault="008201AB" w:rsidP="008201AB">
      <w:pPr>
        <w:pStyle w:val="ListParagraph"/>
        <w:numPr>
          <w:ilvl w:val="0"/>
          <w:numId w:val="4"/>
        </w:numPr>
        <w:rPr>
          <w:rFonts w:asciiTheme="minorHAnsi" w:hAnsiTheme="minorHAnsi" w:cstheme="minorHAnsi"/>
        </w:rPr>
      </w:pPr>
      <w:r w:rsidRPr="00382FC7">
        <w:rPr>
          <w:rFonts w:asciiTheme="minorHAnsi" w:hAnsiTheme="minorHAnsi" w:cstheme="minorHAnsi"/>
        </w:rPr>
        <w:t xml:space="preserve">Oliver </w:t>
      </w:r>
      <w:proofErr w:type="spellStart"/>
      <w:r w:rsidRPr="00382FC7">
        <w:rPr>
          <w:rFonts w:asciiTheme="minorHAnsi" w:hAnsiTheme="minorHAnsi" w:cstheme="minorHAnsi"/>
        </w:rPr>
        <w:t>Leaman</w:t>
      </w:r>
      <w:proofErr w:type="spellEnd"/>
      <w:r w:rsidRPr="00382FC7">
        <w:rPr>
          <w:rFonts w:asciiTheme="minorHAnsi" w:hAnsiTheme="minorHAnsi" w:cstheme="minorHAnsi"/>
        </w:rPr>
        <w:t xml:space="preserve"> and </w:t>
      </w:r>
      <w:proofErr w:type="spellStart"/>
      <w:r w:rsidRPr="00382FC7">
        <w:rPr>
          <w:rFonts w:asciiTheme="minorHAnsi" w:hAnsiTheme="minorHAnsi" w:cstheme="minorHAnsi"/>
        </w:rPr>
        <w:t>Sajjad</w:t>
      </w:r>
      <w:proofErr w:type="spellEnd"/>
      <w:r w:rsidRPr="00382FC7">
        <w:rPr>
          <w:rFonts w:asciiTheme="minorHAnsi" w:hAnsiTheme="minorHAnsi" w:cstheme="minorHAnsi"/>
        </w:rPr>
        <w:t xml:space="preserve"> Rizvi, “The Developed </w:t>
      </w:r>
      <w:proofErr w:type="spellStart"/>
      <w:r w:rsidRPr="00382FC7">
        <w:rPr>
          <w:rFonts w:asciiTheme="minorHAnsi" w:hAnsiTheme="minorHAnsi" w:cstheme="minorHAnsi"/>
          <w:i/>
          <w:iCs/>
        </w:rPr>
        <w:t>kalam</w:t>
      </w:r>
      <w:proofErr w:type="spellEnd"/>
      <w:r w:rsidRPr="00382FC7">
        <w:rPr>
          <w:rFonts w:asciiTheme="minorHAnsi" w:hAnsiTheme="minorHAnsi" w:cstheme="minorHAnsi"/>
          <w:i/>
          <w:iCs/>
        </w:rPr>
        <w:t xml:space="preserve"> </w:t>
      </w:r>
      <w:r w:rsidRPr="00382FC7">
        <w:rPr>
          <w:rFonts w:asciiTheme="minorHAnsi" w:hAnsiTheme="minorHAnsi" w:cstheme="minorHAnsi"/>
        </w:rPr>
        <w:t xml:space="preserve">Tradition,” Chapter 4 of </w:t>
      </w:r>
      <w:r w:rsidRPr="00382FC7">
        <w:rPr>
          <w:rFonts w:asciiTheme="minorHAnsi" w:hAnsiTheme="minorHAnsi" w:cstheme="minorHAnsi"/>
          <w:bCs/>
          <w:i/>
          <w:iCs/>
        </w:rPr>
        <w:t>The Cambridge Companion to Classical Islamic Theology.</w:t>
      </w:r>
    </w:p>
    <w:p w14:paraId="3DD151D6" w14:textId="4481A45C" w:rsidR="00F36983" w:rsidRPr="00F36983" w:rsidRDefault="00F36983" w:rsidP="00F36983">
      <w:pPr>
        <w:pStyle w:val="ListParagraph"/>
        <w:numPr>
          <w:ilvl w:val="0"/>
          <w:numId w:val="4"/>
        </w:numPr>
        <w:rPr>
          <w:rFonts w:asciiTheme="minorHAnsi" w:hAnsiTheme="minorHAnsi" w:cstheme="minorHAnsi"/>
        </w:rPr>
      </w:pPr>
      <w:r w:rsidRPr="004E55DF">
        <w:rPr>
          <w:rFonts w:asciiTheme="minorHAnsi" w:hAnsiTheme="minorHAnsi" w:cstheme="minorHAnsi"/>
          <w:bCs/>
          <w:u w:val="single"/>
        </w:rPr>
        <w:t>Enrichment:</w:t>
      </w:r>
      <w:r>
        <w:rPr>
          <w:rFonts w:asciiTheme="minorHAnsi" w:hAnsiTheme="minorHAnsi" w:cstheme="minorHAnsi"/>
          <w:bCs/>
        </w:rPr>
        <w:t xml:space="preserve"> </w:t>
      </w:r>
      <w:r w:rsidRPr="00382FC7">
        <w:rPr>
          <w:rFonts w:asciiTheme="minorHAnsi" w:hAnsiTheme="minorHAnsi" w:cstheme="minorHAnsi"/>
        </w:rPr>
        <w:t xml:space="preserve">Hossein </w:t>
      </w:r>
      <w:proofErr w:type="spellStart"/>
      <w:r w:rsidRPr="00382FC7">
        <w:rPr>
          <w:rFonts w:asciiTheme="minorHAnsi" w:hAnsiTheme="minorHAnsi" w:cstheme="minorHAnsi"/>
        </w:rPr>
        <w:t>Ziai</w:t>
      </w:r>
      <w:proofErr w:type="spellEnd"/>
      <w:r w:rsidRPr="00382FC7">
        <w:rPr>
          <w:rFonts w:asciiTheme="minorHAnsi" w:hAnsiTheme="minorHAnsi" w:cstheme="minorHAnsi"/>
        </w:rPr>
        <w:t xml:space="preserve">, “Islamic Philosophy,” Chapter 3 of </w:t>
      </w:r>
      <w:r w:rsidRPr="00382FC7">
        <w:rPr>
          <w:rFonts w:asciiTheme="minorHAnsi" w:hAnsiTheme="minorHAnsi" w:cstheme="minorHAnsi"/>
          <w:bCs/>
          <w:i/>
          <w:iCs/>
        </w:rPr>
        <w:t>The Cambridge Companion to Classical Islamic Theology</w:t>
      </w:r>
    </w:p>
    <w:p w14:paraId="2C4D198B" w14:textId="5126CF9A" w:rsidR="008201AB" w:rsidRPr="00382FC7" w:rsidRDefault="001069C1" w:rsidP="008201AB">
      <w:pPr>
        <w:pStyle w:val="ListParagraph"/>
        <w:numPr>
          <w:ilvl w:val="0"/>
          <w:numId w:val="4"/>
        </w:numPr>
        <w:rPr>
          <w:rFonts w:asciiTheme="minorHAnsi" w:hAnsiTheme="minorHAnsi" w:cstheme="minorHAnsi"/>
        </w:rPr>
      </w:pPr>
      <w:r w:rsidRPr="004E55DF">
        <w:rPr>
          <w:rFonts w:asciiTheme="minorHAnsi" w:hAnsiTheme="minorHAnsi" w:cstheme="minorHAnsi"/>
          <w:bCs/>
          <w:u w:val="single"/>
        </w:rPr>
        <w:t>Enrichment:</w:t>
      </w:r>
      <w:r>
        <w:rPr>
          <w:rFonts w:asciiTheme="minorHAnsi" w:hAnsiTheme="minorHAnsi" w:cstheme="minorHAnsi"/>
          <w:bCs/>
        </w:rPr>
        <w:t xml:space="preserve"> </w:t>
      </w:r>
      <w:proofErr w:type="spellStart"/>
      <w:r w:rsidR="008201AB" w:rsidRPr="00382FC7">
        <w:rPr>
          <w:rFonts w:asciiTheme="minorHAnsi" w:hAnsiTheme="minorHAnsi" w:cstheme="minorHAnsi"/>
          <w:bCs/>
        </w:rPr>
        <w:t>Yasir</w:t>
      </w:r>
      <w:proofErr w:type="spellEnd"/>
      <w:r w:rsidR="008201AB" w:rsidRPr="00382FC7">
        <w:rPr>
          <w:rFonts w:asciiTheme="minorHAnsi" w:hAnsiTheme="minorHAnsi" w:cstheme="minorHAnsi"/>
          <w:bCs/>
        </w:rPr>
        <w:t xml:space="preserve"> </w:t>
      </w:r>
      <w:proofErr w:type="spellStart"/>
      <w:r w:rsidR="008201AB" w:rsidRPr="00382FC7">
        <w:rPr>
          <w:rFonts w:asciiTheme="minorHAnsi" w:hAnsiTheme="minorHAnsi" w:cstheme="minorHAnsi"/>
          <w:bCs/>
        </w:rPr>
        <w:t>Qadhi</w:t>
      </w:r>
      <w:proofErr w:type="spellEnd"/>
      <w:r w:rsidR="008201AB" w:rsidRPr="00382FC7">
        <w:rPr>
          <w:rFonts w:asciiTheme="minorHAnsi" w:hAnsiTheme="minorHAnsi" w:cstheme="minorHAnsi"/>
          <w:bCs/>
        </w:rPr>
        <w:t>, “</w:t>
      </w:r>
      <w:proofErr w:type="spellStart"/>
      <w:r w:rsidR="008201AB" w:rsidRPr="00382FC7">
        <w:rPr>
          <w:rFonts w:asciiTheme="minorHAnsi" w:hAnsiTheme="minorHAnsi" w:cstheme="minorHAnsi"/>
          <w:bCs/>
        </w:rPr>
        <w:t>Salafī-Ashʿarī</w:t>
      </w:r>
      <w:proofErr w:type="spellEnd"/>
      <w:r w:rsidR="008201AB" w:rsidRPr="00382FC7">
        <w:rPr>
          <w:rFonts w:asciiTheme="minorHAnsi" w:hAnsiTheme="minorHAnsi" w:cstheme="minorHAnsi"/>
          <w:bCs/>
        </w:rPr>
        <w:t xml:space="preserve"> Polemics of the 3</w:t>
      </w:r>
      <w:r w:rsidR="008201AB" w:rsidRPr="00382FC7">
        <w:rPr>
          <w:rFonts w:asciiTheme="minorHAnsi" w:hAnsiTheme="minorHAnsi" w:cstheme="minorHAnsi"/>
          <w:bCs/>
          <w:vertAlign w:val="superscript"/>
        </w:rPr>
        <w:t>rd</w:t>
      </w:r>
      <w:r w:rsidR="008201AB" w:rsidRPr="00382FC7">
        <w:rPr>
          <w:rFonts w:asciiTheme="minorHAnsi" w:hAnsiTheme="minorHAnsi" w:cstheme="minorHAnsi"/>
          <w:bCs/>
        </w:rPr>
        <w:t xml:space="preserve"> &amp; 4rth Islamic Centuries,” in </w:t>
      </w:r>
      <w:r w:rsidR="008201AB" w:rsidRPr="00382FC7">
        <w:rPr>
          <w:rFonts w:asciiTheme="minorHAnsi" w:hAnsiTheme="minorHAnsi" w:cstheme="minorHAnsi"/>
          <w:bCs/>
          <w:i/>
          <w:iCs/>
        </w:rPr>
        <w:t xml:space="preserve">The Muslim World, </w:t>
      </w:r>
      <w:r w:rsidR="008201AB" w:rsidRPr="00382FC7">
        <w:rPr>
          <w:rFonts w:asciiTheme="minorHAnsi" w:hAnsiTheme="minorHAnsi" w:cstheme="minorHAnsi"/>
          <w:bCs/>
        </w:rPr>
        <w:t xml:space="preserve">v. 106 (July 2016): 433-447. </w:t>
      </w:r>
    </w:p>
    <w:p w14:paraId="6BE2F630" w14:textId="4A9DB300" w:rsidR="008F5ACB" w:rsidRPr="00382FC7" w:rsidRDefault="008F5ACB" w:rsidP="00073EB8">
      <w:pPr>
        <w:rPr>
          <w:rFonts w:cstheme="minorHAnsi"/>
        </w:rPr>
      </w:pPr>
    </w:p>
    <w:p w14:paraId="111CB716" w14:textId="77777777" w:rsidR="008201AB" w:rsidRPr="00382FC7" w:rsidRDefault="00B81E8F" w:rsidP="008201AB">
      <w:pPr>
        <w:rPr>
          <w:rFonts w:cstheme="minorHAnsi"/>
          <w:b/>
          <w:bCs/>
        </w:rPr>
      </w:pPr>
      <w:r w:rsidRPr="00382FC7">
        <w:rPr>
          <w:rFonts w:cstheme="minorHAnsi"/>
          <w:b/>
          <w:bCs/>
        </w:rPr>
        <w:t xml:space="preserve">Class Four: </w:t>
      </w:r>
      <w:r w:rsidR="00BE4D11" w:rsidRPr="00382FC7">
        <w:rPr>
          <w:rFonts w:cstheme="minorHAnsi"/>
          <w:b/>
          <w:bCs/>
        </w:rPr>
        <w:t xml:space="preserve">February 3 </w:t>
      </w:r>
      <w:r w:rsidR="008201AB" w:rsidRPr="00382FC7">
        <w:rPr>
          <w:rFonts w:cstheme="minorHAnsi"/>
          <w:b/>
          <w:bCs/>
        </w:rPr>
        <w:t>– Who is God and How Do We Know God?</w:t>
      </w:r>
    </w:p>
    <w:p w14:paraId="15A88CD4" w14:textId="77777777" w:rsidR="008201AB" w:rsidRPr="00382FC7" w:rsidRDefault="008201AB" w:rsidP="008201AB">
      <w:pPr>
        <w:pStyle w:val="ListParagraph"/>
        <w:numPr>
          <w:ilvl w:val="0"/>
          <w:numId w:val="4"/>
        </w:numPr>
        <w:rPr>
          <w:rFonts w:asciiTheme="minorHAnsi" w:hAnsiTheme="minorHAnsi" w:cstheme="minorHAnsi"/>
        </w:rPr>
      </w:pPr>
      <w:r w:rsidRPr="00382FC7">
        <w:rPr>
          <w:rFonts w:asciiTheme="minorHAnsi" w:hAnsiTheme="minorHAnsi" w:cstheme="minorHAnsi"/>
        </w:rPr>
        <w:t>Nader El-</w:t>
      </w:r>
      <w:proofErr w:type="spellStart"/>
      <w:r w:rsidRPr="00382FC7">
        <w:rPr>
          <w:rFonts w:asciiTheme="minorHAnsi" w:hAnsiTheme="minorHAnsi" w:cstheme="minorHAnsi"/>
        </w:rPr>
        <w:t>Bizri</w:t>
      </w:r>
      <w:proofErr w:type="spellEnd"/>
      <w:r w:rsidRPr="00382FC7">
        <w:rPr>
          <w:rFonts w:asciiTheme="minorHAnsi" w:hAnsiTheme="minorHAnsi" w:cstheme="minorHAnsi"/>
        </w:rPr>
        <w:t xml:space="preserve">, “God: Essence and Attributes,” Chapter 6 of </w:t>
      </w:r>
      <w:r w:rsidRPr="00382FC7">
        <w:rPr>
          <w:rFonts w:asciiTheme="minorHAnsi" w:hAnsiTheme="minorHAnsi" w:cstheme="minorHAnsi"/>
          <w:bCs/>
          <w:i/>
          <w:iCs/>
        </w:rPr>
        <w:t>The Cambridge Companion to Classical Islamic Theology</w:t>
      </w:r>
    </w:p>
    <w:p w14:paraId="7E2F5F94" w14:textId="77777777" w:rsidR="008201AB" w:rsidRPr="00382FC7" w:rsidRDefault="008201AB" w:rsidP="008201AB">
      <w:pPr>
        <w:pStyle w:val="ListParagraph"/>
        <w:numPr>
          <w:ilvl w:val="0"/>
          <w:numId w:val="4"/>
        </w:numPr>
        <w:rPr>
          <w:rFonts w:asciiTheme="minorHAnsi" w:hAnsiTheme="minorHAnsi" w:cstheme="minorHAnsi"/>
        </w:rPr>
      </w:pPr>
      <w:r w:rsidRPr="00382FC7">
        <w:rPr>
          <w:rFonts w:asciiTheme="minorHAnsi" w:hAnsiTheme="minorHAnsi" w:cstheme="minorHAnsi"/>
        </w:rPr>
        <w:t xml:space="preserve">Yahya </w:t>
      </w:r>
      <w:proofErr w:type="spellStart"/>
      <w:r w:rsidRPr="00382FC7">
        <w:rPr>
          <w:rFonts w:asciiTheme="minorHAnsi" w:hAnsiTheme="minorHAnsi" w:cstheme="minorHAnsi"/>
        </w:rPr>
        <w:t>Michot</w:t>
      </w:r>
      <w:proofErr w:type="spellEnd"/>
      <w:r w:rsidRPr="00382FC7">
        <w:rPr>
          <w:rFonts w:asciiTheme="minorHAnsi" w:hAnsiTheme="minorHAnsi" w:cstheme="minorHAnsi"/>
        </w:rPr>
        <w:t xml:space="preserve">, “Revelation,” Chapter 9 of </w:t>
      </w:r>
      <w:r w:rsidRPr="00382FC7">
        <w:rPr>
          <w:rFonts w:asciiTheme="minorHAnsi" w:hAnsiTheme="minorHAnsi" w:cstheme="minorHAnsi"/>
          <w:bCs/>
          <w:i/>
          <w:iCs/>
        </w:rPr>
        <w:t>The Cambridge Companion to Classical Islamic Theology</w:t>
      </w:r>
    </w:p>
    <w:p w14:paraId="7A72A44D" w14:textId="77777777" w:rsidR="008201AB" w:rsidRPr="00382FC7" w:rsidRDefault="008201AB" w:rsidP="008201AB">
      <w:pPr>
        <w:pStyle w:val="ListParagraph"/>
        <w:numPr>
          <w:ilvl w:val="0"/>
          <w:numId w:val="4"/>
        </w:numPr>
        <w:rPr>
          <w:rFonts w:asciiTheme="minorHAnsi" w:hAnsiTheme="minorHAnsi" w:cstheme="minorHAnsi"/>
        </w:rPr>
      </w:pPr>
      <w:r w:rsidRPr="00382FC7">
        <w:rPr>
          <w:rFonts w:asciiTheme="minorHAnsi" w:hAnsiTheme="minorHAnsi" w:cstheme="minorHAnsi"/>
        </w:rPr>
        <w:t xml:space="preserve">Ayman </w:t>
      </w:r>
      <w:proofErr w:type="spellStart"/>
      <w:r w:rsidRPr="00382FC7">
        <w:rPr>
          <w:rFonts w:asciiTheme="minorHAnsi" w:hAnsiTheme="minorHAnsi" w:cstheme="minorHAnsi"/>
        </w:rPr>
        <w:t>Shihadeh</w:t>
      </w:r>
      <w:proofErr w:type="spellEnd"/>
      <w:r w:rsidRPr="00382FC7">
        <w:rPr>
          <w:rFonts w:asciiTheme="minorHAnsi" w:hAnsiTheme="minorHAnsi" w:cstheme="minorHAnsi"/>
        </w:rPr>
        <w:t xml:space="preserve">, “The Existence of God,” Chapters 10 of </w:t>
      </w:r>
      <w:r w:rsidRPr="00382FC7">
        <w:rPr>
          <w:rFonts w:asciiTheme="minorHAnsi" w:hAnsiTheme="minorHAnsi" w:cstheme="minorHAnsi"/>
          <w:bCs/>
          <w:i/>
          <w:iCs/>
        </w:rPr>
        <w:t>The Cambridge Companion to Classical Islamic Theology.</w:t>
      </w:r>
    </w:p>
    <w:p w14:paraId="4978CE08" w14:textId="1B1621C6" w:rsidR="008F5ACB" w:rsidRPr="00382FC7" w:rsidRDefault="008F5ACB" w:rsidP="00073EB8">
      <w:pPr>
        <w:rPr>
          <w:rFonts w:cstheme="minorHAnsi"/>
          <w:b/>
          <w:bCs/>
        </w:rPr>
      </w:pPr>
    </w:p>
    <w:p w14:paraId="39F1CB0E" w14:textId="77777777" w:rsidR="00C812A9" w:rsidRPr="00382FC7" w:rsidRDefault="00B81E8F" w:rsidP="00C812A9">
      <w:pPr>
        <w:rPr>
          <w:rFonts w:cstheme="minorHAnsi"/>
          <w:b/>
          <w:bCs/>
        </w:rPr>
      </w:pPr>
      <w:r w:rsidRPr="00382FC7">
        <w:rPr>
          <w:rFonts w:cstheme="minorHAnsi"/>
          <w:b/>
          <w:bCs/>
        </w:rPr>
        <w:t xml:space="preserve">Class Five: February </w:t>
      </w:r>
      <w:r w:rsidR="00BE4D11" w:rsidRPr="00382FC7">
        <w:rPr>
          <w:rFonts w:cstheme="minorHAnsi"/>
          <w:b/>
          <w:bCs/>
        </w:rPr>
        <w:t>10</w:t>
      </w:r>
      <w:r w:rsidR="008F5ACB" w:rsidRPr="00382FC7">
        <w:rPr>
          <w:rFonts w:cstheme="minorHAnsi"/>
          <w:b/>
          <w:bCs/>
        </w:rPr>
        <w:t xml:space="preserve"> </w:t>
      </w:r>
      <w:r w:rsidR="008201AB" w:rsidRPr="00382FC7">
        <w:rPr>
          <w:rFonts w:cstheme="minorHAnsi"/>
          <w:b/>
          <w:bCs/>
        </w:rPr>
        <w:t xml:space="preserve">– </w:t>
      </w:r>
      <w:r w:rsidR="00C812A9" w:rsidRPr="00382FC7">
        <w:rPr>
          <w:rFonts w:cstheme="minorHAnsi"/>
          <w:b/>
          <w:bCs/>
        </w:rPr>
        <w:t>How Can Humans Know What is Right and What is Wrong?</w:t>
      </w:r>
      <w:r w:rsidR="008201AB" w:rsidRPr="00382FC7">
        <w:rPr>
          <w:rFonts w:cstheme="minorHAnsi"/>
          <w:b/>
          <w:bCs/>
        </w:rPr>
        <w:t xml:space="preserve"> </w:t>
      </w:r>
    </w:p>
    <w:p w14:paraId="42C406CE" w14:textId="0D24CFF4" w:rsidR="00C812A9" w:rsidRPr="00382FC7" w:rsidRDefault="00C812A9" w:rsidP="00C812A9">
      <w:pPr>
        <w:pStyle w:val="ListParagraph"/>
        <w:numPr>
          <w:ilvl w:val="0"/>
          <w:numId w:val="4"/>
        </w:numPr>
        <w:rPr>
          <w:rFonts w:asciiTheme="minorHAnsi" w:hAnsiTheme="minorHAnsi" w:cstheme="minorHAnsi"/>
          <w:bCs/>
          <w:i/>
          <w:iCs/>
        </w:rPr>
      </w:pPr>
      <w:r w:rsidRPr="00382FC7">
        <w:rPr>
          <w:rFonts w:asciiTheme="minorHAnsi" w:hAnsiTheme="minorHAnsi" w:cstheme="minorHAnsi"/>
          <w:bCs/>
        </w:rPr>
        <w:t xml:space="preserve">Steffen A.J. </w:t>
      </w:r>
      <w:proofErr w:type="spellStart"/>
      <w:r w:rsidRPr="00382FC7">
        <w:rPr>
          <w:rFonts w:asciiTheme="minorHAnsi" w:hAnsiTheme="minorHAnsi" w:cstheme="minorHAnsi"/>
          <w:bCs/>
        </w:rPr>
        <w:t>Stelzer</w:t>
      </w:r>
      <w:proofErr w:type="spellEnd"/>
      <w:r w:rsidRPr="00382FC7">
        <w:rPr>
          <w:rFonts w:asciiTheme="minorHAnsi" w:hAnsiTheme="minorHAnsi" w:cstheme="minorHAnsi"/>
          <w:bCs/>
        </w:rPr>
        <w:t xml:space="preserve">, “Ethics,” </w:t>
      </w:r>
      <w:r w:rsidRPr="00382FC7">
        <w:rPr>
          <w:rFonts w:asciiTheme="minorHAnsi" w:hAnsiTheme="minorHAnsi" w:cstheme="minorHAnsi"/>
        </w:rPr>
        <w:t xml:space="preserve">Chapter 8 of </w:t>
      </w:r>
      <w:r w:rsidRPr="00382FC7">
        <w:rPr>
          <w:rFonts w:asciiTheme="minorHAnsi" w:hAnsiTheme="minorHAnsi" w:cstheme="minorHAnsi"/>
          <w:bCs/>
          <w:i/>
          <w:iCs/>
        </w:rPr>
        <w:t>The Cambridge Companion to Classical Islamic Theology</w:t>
      </w:r>
    </w:p>
    <w:p w14:paraId="449C8925" w14:textId="628C7DD4" w:rsidR="008201AB" w:rsidRPr="00382FC7" w:rsidRDefault="008201AB" w:rsidP="00C812A9">
      <w:pPr>
        <w:pStyle w:val="ListParagraph"/>
        <w:numPr>
          <w:ilvl w:val="0"/>
          <w:numId w:val="4"/>
        </w:numPr>
        <w:rPr>
          <w:rFonts w:asciiTheme="minorHAnsi" w:hAnsiTheme="minorHAnsi" w:cstheme="minorHAnsi"/>
          <w:bCs/>
          <w:i/>
          <w:iCs/>
        </w:rPr>
      </w:pPr>
      <w:r w:rsidRPr="00382FC7">
        <w:rPr>
          <w:rFonts w:asciiTheme="minorHAnsi" w:hAnsiTheme="minorHAnsi" w:cstheme="minorHAnsi"/>
          <w:bCs/>
        </w:rPr>
        <w:t xml:space="preserve">Ramon Harvey, Chapters 1 &amp; 2, </w:t>
      </w:r>
      <w:r w:rsidRPr="00382FC7">
        <w:rPr>
          <w:rFonts w:asciiTheme="minorHAnsi" w:hAnsiTheme="minorHAnsi" w:cstheme="minorHAnsi"/>
          <w:bCs/>
          <w:i/>
        </w:rPr>
        <w:t>The Qur’an and the Just Society</w:t>
      </w:r>
    </w:p>
    <w:p w14:paraId="1EF5DA55" w14:textId="344B9698" w:rsidR="008F5ACB" w:rsidRPr="00382FC7" w:rsidRDefault="008F5ACB" w:rsidP="008201AB">
      <w:pPr>
        <w:rPr>
          <w:rFonts w:cstheme="minorHAnsi"/>
        </w:rPr>
      </w:pPr>
    </w:p>
    <w:p w14:paraId="52DD1491" w14:textId="77777777" w:rsidR="008201AB" w:rsidRPr="00382FC7" w:rsidRDefault="008F5ACB" w:rsidP="008201AB">
      <w:pPr>
        <w:rPr>
          <w:rFonts w:cstheme="minorHAnsi"/>
          <w:b/>
          <w:bCs/>
        </w:rPr>
      </w:pPr>
      <w:r w:rsidRPr="00382FC7">
        <w:rPr>
          <w:rFonts w:cstheme="minorHAnsi"/>
          <w:b/>
          <w:bCs/>
        </w:rPr>
        <w:t>Class S</w:t>
      </w:r>
      <w:r w:rsidR="00CD14B5" w:rsidRPr="00382FC7">
        <w:rPr>
          <w:rFonts w:cstheme="minorHAnsi"/>
          <w:b/>
          <w:bCs/>
        </w:rPr>
        <w:t>ix</w:t>
      </w:r>
      <w:r w:rsidR="00BE4D11" w:rsidRPr="00382FC7">
        <w:rPr>
          <w:rFonts w:cstheme="minorHAnsi"/>
          <w:b/>
          <w:bCs/>
        </w:rPr>
        <w:t>: February 17</w:t>
      </w:r>
      <w:r w:rsidRPr="00382FC7">
        <w:rPr>
          <w:rFonts w:cstheme="minorHAnsi"/>
          <w:b/>
          <w:bCs/>
        </w:rPr>
        <w:t xml:space="preserve"> </w:t>
      </w:r>
      <w:r w:rsidR="008201AB" w:rsidRPr="00382FC7">
        <w:rPr>
          <w:rFonts w:cstheme="minorHAnsi"/>
          <w:b/>
          <w:bCs/>
        </w:rPr>
        <w:t>– Who can ‘speak for God’?</w:t>
      </w:r>
    </w:p>
    <w:p w14:paraId="066AE63B" w14:textId="77777777" w:rsidR="008201AB" w:rsidRPr="00382FC7" w:rsidRDefault="008201AB" w:rsidP="008201AB">
      <w:pPr>
        <w:pStyle w:val="ListParagraph"/>
        <w:numPr>
          <w:ilvl w:val="0"/>
          <w:numId w:val="4"/>
        </w:numPr>
        <w:rPr>
          <w:rFonts w:asciiTheme="minorHAnsi" w:hAnsiTheme="minorHAnsi" w:cstheme="minorHAnsi"/>
        </w:rPr>
      </w:pPr>
      <w:r w:rsidRPr="00382FC7">
        <w:rPr>
          <w:rFonts w:asciiTheme="minorHAnsi" w:hAnsiTheme="minorHAnsi" w:cstheme="minorHAnsi"/>
        </w:rPr>
        <w:t xml:space="preserve">Ahmed El </w:t>
      </w:r>
      <w:proofErr w:type="spellStart"/>
      <w:r w:rsidRPr="00382FC7">
        <w:rPr>
          <w:rFonts w:asciiTheme="minorHAnsi" w:hAnsiTheme="minorHAnsi" w:cstheme="minorHAnsi"/>
        </w:rPr>
        <w:t>Shamsy</w:t>
      </w:r>
      <w:proofErr w:type="spellEnd"/>
      <w:r w:rsidRPr="00382FC7">
        <w:rPr>
          <w:rFonts w:asciiTheme="minorHAnsi" w:hAnsiTheme="minorHAnsi" w:cstheme="minorHAnsi"/>
        </w:rPr>
        <w:t xml:space="preserve">, “The Social Construction of Orthodoxy,” Chapter 5 of </w:t>
      </w:r>
      <w:r w:rsidRPr="00382FC7">
        <w:rPr>
          <w:rFonts w:asciiTheme="minorHAnsi" w:hAnsiTheme="minorHAnsi" w:cstheme="minorHAnsi"/>
          <w:bCs/>
          <w:i/>
          <w:iCs/>
        </w:rPr>
        <w:t>The Cambridge Companion to Classical Islamic Theology.</w:t>
      </w:r>
    </w:p>
    <w:p w14:paraId="4E0F19F5" w14:textId="44461CF1" w:rsidR="008201AB" w:rsidRPr="00382FC7" w:rsidRDefault="008201AB" w:rsidP="008201AB">
      <w:pPr>
        <w:pStyle w:val="ListParagraph"/>
        <w:numPr>
          <w:ilvl w:val="0"/>
          <w:numId w:val="4"/>
        </w:numPr>
        <w:rPr>
          <w:rFonts w:asciiTheme="minorHAnsi" w:hAnsiTheme="minorHAnsi" w:cstheme="minorHAnsi"/>
        </w:rPr>
      </w:pPr>
      <w:r w:rsidRPr="00382FC7">
        <w:rPr>
          <w:rFonts w:asciiTheme="minorHAnsi" w:hAnsiTheme="minorHAnsi" w:cstheme="minorHAnsi"/>
        </w:rPr>
        <w:t xml:space="preserve">“The </w:t>
      </w:r>
      <w:proofErr w:type="spellStart"/>
      <w:r w:rsidRPr="00382FC7">
        <w:rPr>
          <w:rFonts w:asciiTheme="minorHAnsi" w:hAnsiTheme="minorHAnsi" w:cstheme="minorHAnsi"/>
        </w:rPr>
        <w:t>Ḥadīth</w:t>
      </w:r>
      <w:proofErr w:type="spellEnd"/>
      <w:r w:rsidRPr="00382FC7">
        <w:rPr>
          <w:rFonts w:asciiTheme="minorHAnsi" w:hAnsiTheme="minorHAnsi" w:cstheme="minorHAnsi"/>
        </w:rPr>
        <w:t xml:space="preserve"> of the </w:t>
      </w:r>
      <w:proofErr w:type="spellStart"/>
      <w:r w:rsidRPr="00382FC7">
        <w:rPr>
          <w:rFonts w:asciiTheme="minorHAnsi" w:hAnsiTheme="minorHAnsi" w:cstheme="minorHAnsi"/>
        </w:rPr>
        <w:t>Ghadīr</w:t>
      </w:r>
      <w:proofErr w:type="spellEnd"/>
      <w:r w:rsidRPr="00382FC7">
        <w:rPr>
          <w:rFonts w:asciiTheme="minorHAnsi" w:hAnsiTheme="minorHAnsi" w:cstheme="minorHAnsi"/>
        </w:rPr>
        <w:t xml:space="preserve"> of </w:t>
      </w:r>
      <w:proofErr w:type="spellStart"/>
      <w:r w:rsidRPr="00382FC7">
        <w:rPr>
          <w:rFonts w:asciiTheme="minorHAnsi" w:hAnsiTheme="minorHAnsi" w:cstheme="minorHAnsi"/>
        </w:rPr>
        <w:t>Khumm</w:t>
      </w:r>
      <w:proofErr w:type="spellEnd"/>
      <w:r w:rsidRPr="00382FC7">
        <w:rPr>
          <w:rFonts w:asciiTheme="minorHAnsi" w:hAnsiTheme="minorHAnsi" w:cstheme="minorHAnsi"/>
        </w:rPr>
        <w:t xml:space="preserve">,” and “The Sermons of </w:t>
      </w:r>
      <w:proofErr w:type="spellStart"/>
      <w:r w:rsidRPr="00382FC7">
        <w:rPr>
          <w:rFonts w:asciiTheme="minorHAnsi" w:hAnsiTheme="minorHAnsi" w:cstheme="minorHAnsi"/>
        </w:rPr>
        <w:t>Abū</w:t>
      </w:r>
      <w:proofErr w:type="spellEnd"/>
      <w:r w:rsidRPr="00382FC7">
        <w:rPr>
          <w:rFonts w:asciiTheme="minorHAnsi" w:hAnsiTheme="minorHAnsi" w:cstheme="minorHAnsi"/>
        </w:rPr>
        <w:t xml:space="preserve"> </w:t>
      </w:r>
      <w:proofErr w:type="spellStart"/>
      <w:r w:rsidRPr="00382FC7">
        <w:rPr>
          <w:rFonts w:asciiTheme="minorHAnsi" w:hAnsiTheme="minorHAnsi" w:cstheme="minorHAnsi"/>
        </w:rPr>
        <w:t>Ḥamza</w:t>
      </w:r>
      <w:proofErr w:type="spellEnd"/>
      <w:r w:rsidRPr="00382FC7">
        <w:rPr>
          <w:rFonts w:asciiTheme="minorHAnsi" w:hAnsiTheme="minorHAnsi" w:cstheme="minorHAnsi"/>
        </w:rPr>
        <w:t xml:space="preserve"> the </w:t>
      </w:r>
      <w:proofErr w:type="spellStart"/>
      <w:r w:rsidRPr="00382FC7">
        <w:rPr>
          <w:rFonts w:asciiTheme="minorHAnsi" w:hAnsiTheme="minorHAnsi" w:cstheme="minorHAnsi"/>
        </w:rPr>
        <w:t>Khārijī</w:t>
      </w:r>
      <w:proofErr w:type="spellEnd"/>
      <w:r w:rsidRPr="00382FC7">
        <w:rPr>
          <w:rFonts w:asciiTheme="minorHAnsi" w:hAnsiTheme="minorHAnsi" w:cstheme="minorHAnsi"/>
        </w:rPr>
        <w:t xml:space="preserve">,” readings from John A. Williams, </w:t>
      </w:r>
      <w:r w:rsidRPr="00382FC7">
        <w:rPr>
          <w:rFonts w:asciiTheme="minorHAnsi" w:hAnsiTheme="minorHAnsi" w:cstheme="minorHAnsi"/>
          <w:i/>
          <w:iCs/>
        </w:rPr>
        <w:t xml:space="preserve">The Word of Islam, </w:t>
      </w:r>
      <w:r w:rsidRPr="00382FC7">
        <w:rPr>
          <w:rFonts w:asciiTheme="minorHAnsi" w:hAnsiTheme="minorHAnsi" w:cstheme="minorHAnsi"/>
        </w:rPr>
        <w:t xml:space="preserve">pp. 170-178. </w:t>
      </w:r>
    </w:p>
    <w:p w14:paraId="5DE216C7" w14:textId="44154BF7" w:rsidR="008201AB" w:rsidRPr="00F36983" w:rsidRDefault="004E55DF" w:rsidP="004E55DF">
      <w:pPr>
        <w:pStyle w:val="ListParagraph"/>
        <w:numPr>
          <w:ilvl w:val="0"/>
          <w:numId w:val="4"/>
        </w:numPr>
        <w:rPr>
          <w:rFonts w:asciiTheme="minorHAnsi" w:hAnsiTheme="minorHAnsi" w:cstheme="minorHAnsi"/>
        </w:rPr>
      </w:pPr>
      <w:r w:rsidRPr="004E55DF">
        <w:rPr>
          <w:rFonts w:asciiTheme="minorHAnsi" w:hAnsiTheme="minorHAnsi" w:cstheme="minorHAnsi"/>
          <w:u w:val="single"/>
        </w:rPr>
        <w:t>Enrichment:</w:t>
      </w:r>
      <w:r>
        <w:rPr>
          <w:rFonts w:asciiTheme="minorHAnsi" w:hAnsiTheme="minorHAnsi" w:cstheme="minorHAnsi"/>
        </w:rPr>
        <w:t xml:space="preserve"> </w:t>
      </w:r>
      <w:r w:rsidR="008201AB" w:rsidRPr="00F36983">
        <w:rPr>
          <w:rFonts w:asciiTheme="minorHAnsi" w:hAnsiTheme="minorHAnsi" w:cstheme="minorHAnsi"/>
        </w:rPr>
        <w:t xml:space="preserve">Reading from </w:t>
      </w:r>
      <w:r>
        <w:rPr>
          <w:rFonts w:asciiTheme="minorHAnsi" w:hAnsiTheme="minorHAnsi" w:cstheme="minorHAnsi"/>
        </w:rPr>
        <w:t xml:space="preserve">Khaled </w:t>
      </w:r>
      <w:proofErr w:type="spellStart"/>
      <w:r w:rsidR="008201AB" w:rsidRPr="00F36983">
        <w:rPr>
          <w:rFonts w:asciiTheme="minorHAnsi" w:hAnsiTheme="minorHAnsi" w:cstheme="minorHAnsi"/>
        </w:rPr>
        <w:t>Abou</w:t>
      </w:r>
      <w:proofErr w:type="spellEnd"/>
      <w:r w:rsidR="008201AB" w:rsidRPr="00F36983">
        <w:rPr>
          <w:rFonts w:asciiTheme="minorHAnsi" w:hAnsiTheme="minorHAnsi" w:cstheme="minorHAnsi"/>
        </w:rPr>
        <w:t xml:space="preserve"> El </w:t>
      </w:r>
      <w:proofErr w:type="spellStart"/>
      <w:r w:rsidR="008201AB" w:rsidRPr="00F36983">
        <w:rPr>
          <w:rFonts w:asciiTheme="minorHAnsi" w:hAnsiTheme="minorHAnsi" w:cstheme="minorHAnsi"/>
        </w:rPr>
        <w:t>Fadl</w:t>
      </w:r>
      <w:proofErr w:type="spellEnd"/>
      <w:r>
        <w:rPr>
          <w:rFonts w:asciiTheme="minorHAnsi" w:hAnsiTheme="minorHAnsi" w:cstheme="minorHAnsi"/>
        </w:rPr>
        <w:t xml:space="preserve">, </w:t>
      </w:r>
      <w:proofErr w:type="gramStart"/>
      <w:r>
        <w:rPr>
          <w:rFonts w:asciiTheme="minorHAnsi" w:hAnsiTheme="minorHAnsi" w:cstheme="minorHAnsi"/>
          <w:i/>
          <w:iCs/>
        </w:rPr>
        <w:t>Speaking</w:t>
      </w:r>
      <w:proofErr w:type="gramEnd"/>
      <w:r>
        <w:rPr>
          <w:rFonts w:asciiTheme="minorHAnsi" w:hAnsiTheme="minorHAnsi" w:cstheme="minorHAnsi"/>
          <w:i/>
          <w:iCs/>
        </w:rPr>
        <w:t xml:space="preserve"> in God’s Name: Islamic Law, Authority and Women, </w:t>
      </w:r>
      <w:r>
        <w:rPr>
          <w:rFonts w:asciiTheme="minorHAnsi" w:hAnsiTheme="minorHAnsi" w:cstheme="minorHAnsi"/>
        </w:rPr>
        <w:t xml:space="preserve">pp. 18-69 of the printed book; for the digital book available in the library, read “The Notion of Authority” and “The authoritative in Islam,” from Chapter Two, “The Authoritative”. </w:t>
      </w:r>
    </w:p>
    <w:p w14:paraId="03E00D54" w14:textId="77777777" w:rsidR="004E55DF" w:rsidRDefault="004E55DF" w:rsidP="00BE4D11">
      <w:pPr>
        <w:rPr>
          <w:rFonts w:cstheme="minorHAnsi"/>
          <w:b/>
          <w:bCs/>
        </w:rPr>
      </w:pPr>
    </w:p>
    <w:p w14:paraId="53CB6BF7" w14:textId="0010141B" w:rsidR="00BE4D11" w:rsidRPr="00382FC7" w:rsidRDefault="00BE4D11" w:rsidP="00BE4D11">
      <w:pPr>
        <w:rPr>
          <w:rFonts w:cstheme="minorHAnsi"/>
          <w:b/>
          <w:bCs/>
        </w:rPr>
      </w:pPr>
      <w:r w:rsidRPr="00382FC7">
        <w:rPr>
          <w:rFonts w:cstheme="minorHAnsi"/>
          <w:b/>
          <w:bCs/>
        </w:rPr>
        <w:t>February 24: Fall Reading Week – no class</w:t>
      </w:r>
    </w:p>
    <w:p w14:paraId="2374D2E5" w14:textId="77777777" w:rsidR="00BE4D11" w:rsidRPr="00382FC7" w:rsidRDefault="00BE4D11" w:rsidP="00073EB8">
      <w:pPr>
        <w:rPr>
          <w:rFonts w:cstheme="minorHAnsi"/>
        </w:rPr>
      </w:pPr>
    </w:p>
    <w:p w14:paraId="28171A7F" w14:textId="77777777" w:rsidR="008A439A" w:rsidRDefault="008A439A" w:rsidP="008201AB">
      <w:pPr>
        <w:rPr>
          <w:rFonts w:cstheme="minorHAnsi"/>
          <w:b/>
          <w:bCs/>
        </w:rPr>
      </w:pPr>
    </w:p>
    <w:p w14:paraId="35854375" w14:textId="33FDBBB7" w:rsidR="008201AB" w:rsidRPr="00382FC7" w:rsidRDefault="008F5ACB" w:rsidP="008201AB">
      <w:pPr>
        <w:rPr>
          <w:rFonts w:cstheme="minorHAnsi"/>
          <w:b/>
          <w:bCs/>
        </w:rPr>
      </w:pPr>
      <w:r w:rsidRPr="00382FC7">
        <w:rPr>
          <w:rFonts w:cstheme="minorHAnsi"/>
          <w:b/>
          <w:bCs/>
        </w:rPr>
        <w:lastRenderedPageBreak/>
        <w:t xml:space="preserve">Class </w:t>
      </w:r>
      <w:r w:rsidR="00CD14B5" w:rsidRPr="00382FC7">
        <w:rPr>
          <w:rFonts w:cstheme="minorHAnsi"/>
          <w:b/>
          <w:bCs/>
        </w:rPr>
        <w:t>Seven</w:t>
      </w:r>
      <w:r w:rsidR="00B4313A" w:rsidRPr="00382FC7">
        <w:rPr>
          <w:rFonts w:cstheme="minorHAnsi"/>
          <w:b/>
          <w:bCs/>
        </w:rPr>
        <w:t xml:space="preserve">: </w:t>
      </w:r>
      <w:r w:rsidR="00BE4D11" w:rsidRPr="00382FC7">
        <w:rPr>
          <w:rFonts w:cstheme="minorHAnsi"/>
          <w:b/>
          <w:bCs/>
        </w:rPr>
        <w:t>March 3</w:t>
      </w:r>
      <w:r w:rsidRPr="00382FC7">
        <w:rPr>
          <w:rFonts w:cstheme="minorHAnsi"/>
          <w:b/>
          <w:bCs/>
        </w:rPr>
        <w:t xml:space="preserve"> </w:t>
      </w:r>
      <w:r w:rsidR="008201AB" w:rsidRPr="00382FC7">
        <w:rPr>
          <w:rFonts w:cstheme="minorHAnsi"/>
          <w:b/>
          <w:bCs/>
        </w:rPr>
        <w:t>– Creeds in Context</w:t>
      </w:r>
      <w:r w:rsidR="0010440F">
        <w:rPr>
          <w:rFonts w:cstheme="minorHAnsi"/>
          <w:b/>
          <w:bCs/>
        </w:rPr>
        <w:t xml:space="preserve"> </w:t>
      </w:r>
      <w:r w:rsidR="0010440F" w:rsidRPr="0010440F">
        <w:rPr>
          <w:rFonts w:cstheme="minorHAnsi"/>
          <w:b/>
          <w:bCs/>
          <w:color w:val="FF0000"/>
        </w:rPr>
        <w:t>+ Book Reports</w:t>
      </w:r>
    </w:p>
    <w:p w14:paraId="3B1E69EA" w14:textId="6F16E01A" w:rsidR="008F5ACB" w:rsidRDefault="008201AB" w:rsidP="0010440F">
      <w:pPr>
        <w:pStyle w:val="ListParagraph"/>
        <w:numPr>
          <w:ilvl w:val="0"/>
          <w:numId w:val="4"/>
        </w:numPr>
        <w:rPr>
          <w:rFonts w:asciiTheme="minorHAnsi" w:hAnsiTheme="minorHAnsi" w:cstheme="minorHAnsi"/>
        </w:rPr>
      </w:pPr>
      <w:r w:rsidRPr="00382FC7">
        <w:rPr>
          <w:rFonts w:asciiTheme="minorHAnsi" w:hAnsiTheme="minorHAnsi" w:cstheme="minorHAnsi"/>
        </w:rPr>
        <w:t xml:space="preserve">John </w:t>
      </w:r>
      <w:proofErr w:type="spellStart"/>
      <w:r w:rsidRPr="00382FC7">
        <w:rPr>
          <w:rFonts w:asciiTheme="minorHAnsi" w:hAnsiTheme="minorHAnsi" w:cstheme="minorHAnsi"/>
        </w:rPr>
        <w:t>Renard</w:t>
      </w:r>
      <w:proofErr w:type="spellEnd"/>
      <w:r w:rsidRPr="00382FC7">
        <w:rPr>
          <w:rFonts w:asciiTheme="minorHAnsi" w:hAnsiTheme="minorHAnsi" w:cstheme="minorHAnsi"/>
        </w:rPr>
        <w:t xml:space="preserve">, “Creeds and Polemic” from John </w:t>
      </w:r>
      <w:proofErr w:type="spellStart"/>
      <w:r w:rsidRPr="00382FC7">
        <w:rPr>
          <w:rFonts w:asciiTheme="minorHAnsi" w:hAnsiTheme="minorHAnsi" w:cstheme="minorHAnsi"/>
        </w:rPr>
        <w:t>Renard</w:t>
      </w:r>
      <w:proofErr w:type="spellEnd"/>
      <w:r w:rsidRPr="00382FC7">
        <w:rPr>
          <w:rFonts w:asciiTheme="minorHAnsi" w:hAnsiTheme="minorHAnsi" w:cstheme="minorHAnsi"/>
        </w:rPr>
        <w:t xml:space="preserve">, </w:t>
      </w:r>
      <w:r w:rsidRPr="00382FC7">
        <w:rPr>
          <w:rFonts w:asciiTheme="minorHAnsi" w:hAnsiTheme="minorHAnsi" w:cstheme="minorHAnsi"/>
          <w:i/>
          <w:iCs/>
        </w:rPr>
        <w:t xml:space="preserve">Islamic Theological Themes: A primary source reader, </w:t>
      </w:r>
      <w:r w:rsidRPr="00382FC7">
        <w:rPr>
          <w:rFonts w:asciiTheme="minorHAnsi" w:hAnsiTheme="minorHAnsi" w:cstheme="minorHAnsi"/>
        </w:rPr>
        <w:t>pp. 103-134.</w:t>
      </w:r>
    </w:p>
    <w:p w14:paraId="5119FA70" w14:textId="77777777" w:rsidR="0010440F" w:rsidRDefault="0010440F" w:rsidP="0010440F">
      <w:pPr>
        <w:pStyle w:val="ListParagraph"/>
        <w:numPr>
          <w:ilvl w:val="0"/>
          <w:numId w:val="4"/>
        </w:numPr>
        <w:rPr>
          <w:rFonts w:asciiTheme="minorHAnsi" w:hAnsiTheme="minorHAnsi" w:cstheme="minorHAnsi"/>
        </w:rPr>
      </w:pPr>
      <w:r>
        <w:rPr>
          <w:rFonts w:asciiTheme="minorHAnsi" w:hAnsiTheme="minorHAnsi" w:cstheme="minorHAnsi"/>
        </w:rPr>
        <w:t>Book reports due and presented in class</w:t>
      </w:r>
    </w:p>
    <w:p w14:paraId="20A0ACA1" w14:textId="77777777" w:rsidR="0010440F" w:rsidRDefault="0010440F" w:rsidP="0010440F">
      <w:pPr>
        <w:rPr>
          <w:rFonts w:cstheme="minorHAnsi"/>
          <w:b/>
          <w:bCs/>
        </w:rPr>
      </w:pPr>
    </w:p>
    <w:p w14:paraId="04C5DF81" w14:textId="77777777" w:rsidR="004E55DF" w:rsidRDefault="008F5ACB" w:rsidP="004E55DF">
      <w:pPr>
        <w:rPr>
          <w:rFonts w:cstheme="minorHAnsi"/>
          <w:b/>
          <w:bCs/>
        </w:rPr>
      </w:pPr>
      <w:r w:rsidRPr="0010440F">
        <w:rPr>
          <w:rFonts w:cstheme="minorHAnsi"/>
          <w:b/>
          <w:bCs/>
        </w:rPr>
        <w:t xml:space="preserve">Class </w:t>
      </w:r>
      <w:r w:rsidR="00BE4D11" w:rsidRPr="0010440F">
        <w:rPr>
          <w:rFonts w:cstheme="minorHAnsi"/>
          <w:b/>
          <w:bCs/>
        </w:rPr>
        <w:t>Eight: March 10</w:t>
      </w:r>
      <w:r w:rsidR="008201AB" w:rsidRPr="0010440F">
        <w:rPr>
          <w:rFonts w:cstheme="minorHAnsi"/>
          <w:b/>
          <w:bCs/>
        </w:rPr>
        <w:t xml:space="preserve"> – Who goes to heaven?</w:t>
      </w:r>
      <w:r w:rsidR="0010440F" w:rsidRPr="0010440F">
        <w:rPr>
          <w:rFonts w:cstheme="minorHAnsi"/>
          <w:b/>
          <w:bCs/>
        </w:rPr>
        <w:t xml:space="preserve"> </w:t>
      </w:r>
    </w:p>
    <w:p w14:paraId="73C73846" w14:textId="4A5DB99C" w:rsidR="008201AB" w:rsidRPr="004E55DF" w:rsidRDefault="0010440F" w:rsidP="004E55DF">
      <w:pPr>
        <w:pStyle w:val="ListParagraph"/>
        <w:numPr>
          <w:ilvl w:val="0"/>
          <w:numId w:val="17"/>
        </w:numPr>
        <w:rPr>
          <w:rFonts w:cstheme="minorHAnsi"/>
        </w:rPr>
      </w:pPr>
      <w:r w:rsidRPr="004E55DF">
        <w:rPr>
          <w:rFonts w:cstheme="minorHAnsi"/>
          <w:color w:val="FF0000"/>
        </w:rPr>
        <w:t xml:space="preserve">All: </w:t>
      </w:r>
      <w:r w:rsidR="008201AB" w:rsidRPr="004E55DF">
        <w:rPr>
          <w:rFonts w:cstheme="minorHAnsi"/>
        </w:rPr>
        <w:t>Reading from al-</w:t>
      </w:r>
      <w:proofErr w:type="spellStart"/>
      <w:r w:rsidR="008201AB" w:rsidRPr="004E55DF">
        <w:rPr>
          <w:rFonts w:cstheme="minorHAnsi"/>
        </w:rPr>
        <w:t>Ghazali</w:t>
      </w:r>
      <w:proofErr w:type="spellEnd"/>
      <w:r w:rsidR="008201AB" w:rsidRPr="004E55DF">
        <w:rPr>
          <w:rFonts w:cstheme="minorHAnsi"/>
        </w:rPr>
        <w:t xml:space="preserve">, </w:t>
      </w:r>
      <w:proofErr w:type="spellStart"/>
      <w:r w:rsidR="008201AB" w:rsidRPr="004E55DF">
        <w:rPr>
          <w:rFonts w:cstheme="minorHAnsi"/>
          <w:i/>
          <w:iCs/>
        </w:rPr>
        <w:t>Fay</w:t>
      </w:r>
      <w:r w:rsidR="008201AB" w:rsidRPr="004E55DF">
        <w:rPr>
          <w:rFonts w:ascii="Calibri" w:hAnsi="Calibri" w:cs="Calibri"/>
          <w:i/>
          <w:iCs/>
        </w:rPr>
        <w:t>ṣ</w:t>
      </w:r>
      <w:r w:rsidR="008201AB" w:rsidRPr="004E55DF">
        <w:rPr>
          <w:rFonts w:cstheme="minorHAnsi"/>
          <w:i/>
          <w:iCs/>
        </w:rPr>
        <w:t>al</w:t>
      </w:r>
      <w:proofErr w:type="spellEnd"/>
      <w:r w:rsidR="008201AB" w:rsidRPr="004E55DF">
        <w:rPr>
          <w:rFonts w:cstheme="minorHAnsi"/>
          <w:i/>
          <w:iCs/>
        </w:rPr>
        <w:t xml:space="preserve"> al-</w:t>
      </w:r>
      <w:proofErr w:type="spellStart"/>
      <w:r w:rsidR="008201AB" w:rsidRPr="004E55DF">
        <w:rPr>
          <w:rFonts w:cstheme="minorHAnsi"/>
          <w:i/>
          <w:iCs/>
        </w:rPr>
        <w:t>Tafriqa</w:t>
      </w:r>
      <w:proofErr w:type="spellEnd"/>
      <w:r w:rsidR="008201AB" w:rsidRPr="004E55DF">
        <w:rPr>
          <w:rFonts w:cstheme="minorHAnsi"/>
          <w:i/>
          <w:iCs/>
        </w:rPr>
        <w:t xml:space="preserve"> </w:t>
      </w:r>
      <w:proofErr w:type="spellStart"/>
      <w:r w:rsidR="008201AB" w:rsidRPr="004E55DF">
        <w:rPr>
          <w:rFonts w:cstheme="minorHAnsi"/>
          <w:i/>
          <w:iCs/>
        </w:rPr>
        <w:t>bayna</w:t>
      </w:r>
      <w:proofErr w:type="spellEnd"/>
      <w:r w:rsidR="008201AB" w:rsidRPr="004E55DF">
        <w:rPr>
          <w:rFonts w:cstheme="minorHAnsi"/>
          <w:i/>
          <w:iCs/>
        </w:rPr>
        <w:t xml:space="preserve"> al-</w:t>
      </w:r>
      <w:proofErr w:type="spellStart"/>
      <w:r w:rsidR="008201AB" w:rsidRPr="004E55DF">
        <w:rPr>
          <w:rFonts w:cstheme="minorHAnsi"/>
          <w:i/>
          <w:iCs/>
        </w:rPr>
        <w:t>isl</w:t>
      </w:r>
      <w:r w:rsidR="008201AB" w:rsidRPr="004E55DF">
        <w:rPr>
          <w:rFonts w:ascii="Calibri" w:hAnsi="Calibri" w:cs="Calibri"/>
          <w:i/>
          <w:iCs/>
        </w:rPr>
        <w:t>ā</w:t>
      </w:r>
      <w:r w:rsidR="008201AB" w:rsidRPr="004E55DF">
        <w:rPr>
          <w:rFonts w:cstheme="minorHAnsi"/>
          <w:i/>
          <w:iCs/>
        </w:rPr>
        <w:t>m</w:t>
      </w:r>
      <w:proofErr w:type="spellEnd"/>
      <w:r w:rsidR="008201AB" w:rsidRPr="004E55DF">
        <w:rPr>
          <w:rFonts w:cstheme="minorHAnsi"/>
          <w:i/>
          <w:iCs/>
        </w:rPr>
        <w:t xml:space="preserve"> </w:t>
      </w:r>
      <w:proofErr w:type="spellStart"/>
      <w:r w:rsidR="008201AB" w:rsidRPr="004E55DF">
        <w:rPr>
          <w:rFonts w:cstheme="minorHAnsi"/>
          <w:i/>
          <w:iCs/>
        </w:rPr>
        <w:t>wa</w:t>
      </w:r>
      <w:r w:rsidR="008201AB" w:rsidRPr="004E55DF">
        <w:rPr>
          <w:rFonts w:cs="Gill Sans MT"/>
          <w:i/>
          <w:iCs/>
        </w:rPr>
        <w:t>’</w:t>
      </w:r>
      <w:r w:rsidR="008201AB" w:rsidRPr="004E55DF">
        <w:rPr>
          <w:rFonts w:cstheme="minorHAnsi"/>
          <w:i/>
          <w:iCs/>
        </w:rPr>
        <w:t>l-zandaqa</w:t>
      </w:r>
      <w:proofErr w:type="spellEnd"/>
      <w:r w:rsidR="008201AB" w:rsidRPr="004E55DF">
        <w:rPr>
          <w:rFonts w:cstheme="minorHAnsi"/>
          <w:i/>
          <w:iCs/>
        </w:rPr>
        <w:t xml:space="preserve">; </w:t>
      </w:r>
      <w:r w:rsidR="008201AB" w:rsidRPr="004E55DF">
        <w:rPr>
          <w:rFonts w:cstheme="minorHAnsi"/>
        </w:rPr>
        <w:t xml:space="preserve">translated by Sherman A. Jackson, </w:t>
      </w:r>
      <w:r w:rsidR="008201AB" w:rsidRPr="004E55DF">
        <w:rPr>
          <w:rFonts w:cstheme="minorHAnsi"/>
          <w:i/>
          <w:iCs/>
        </w:rPr>
        <w:t>On the Boundaries of Theological Tolerance in Islam</w:t>
      </w:r>
      <w:r w:rsidR="008201AB" w:rsidRPr="004E55DF">
        <w:rPr>
          <w:rFonts w:cstheme="minorHAnsi"/>
        </w:rPr>
        <w:t xml:space="preserve"> </w:t>
      </w:r>
    </w:p>
    <w:p w14:paraId="6C46A0B7" w14:textId="211B5624" w:rsidR="004E55DF" w:rsidRDefault="004E55DF" w:rsidP="004E55DF">
      <w:pPr>
        <w:pStyle w:val="ListParagraph"/>
        <w:numPr>
          <w:ilvl w:val="0"/>
          <w:numId w:val="17"/>
        </w:numPr>
        <w:rPr>
          <w:rFonts w:asciiTheme="minorHAnsi" w:hAnsiTheme="minorHAnsi" w:cstheme="minorHAnsi"/>
        </w:rPr>
      </w:pPr>
      <w:r>
        <w:rPr>
          <w:rFonts w:asciiTheme="minorHAnsi" w:hAnsiTheme="minorHAnsi" w:cstheme="minorHAnsi"/>
        </w:rPr>
        <w:t xml:space="preserve">Chapters from </w:t>
      </w:r>
      <w:r w:rsidRPr="00382FC7">
        <w:rPr>
          <w:rFonts w:asciiTheme="minorHAnsi" w:hAnsiTheme="minorHAnsi" w:cstheme="minorHAnsi"/>
          <w:i/>
          <w:iCs/>
        </w:rPr>
        <w:t>Between Heaven and Hell: Islam, Salvation, and the Fate of Others</w:t>
      </w:r>
      <w:r>
        <w:rPr>
          <w:rFonts w:asciiTheme="minorHAnsi" w:hAnsiTheme="minorHAnsi" w:cstheme="minorHAnsi"/>
          <w:i/>
          <w:iCs/>
        </w:rPr>
        <w:t xml:space="preserve"> </w:t>
      </w:r>
      <w:r>
        <w:rPr>
          <w:rFonts w:asciiTheme="minorHAnsi" w:hAnsiTheme="minorHAnsi" w:cstheme="minorHAnsi"/>
        </w:rPr>
        <w:t>to be assigned individually:</w:t>
      </w:r>
    </w:p>
    <w:p w14:paraId="3CC6C3E0" w14:textId="5BBC9255" w:rsidR="008201AB" w:rsidRPr="00382FC7" w:rsidRDefault="004E55DF" w:rsidP="004E55DF">
      <w:pPr>
        <w:pStyle w:val="ListParagraph"/>
        <w:numPr>
          <w:ilvl w:val="1"/>
          <w:numId w:val="17"/>
        </w:numPr>
        <w:rPr>
          <w:rFonts w:asciiTheme="minorHAnsi" w:hAnsiTheme="minorHAnsi" w:cstheme="minorHAnsi"/>
        </w:rPr>
      </w:pPr>
      <w:r>
        <w:rPr>
          <w:rFonts w:asciiTheme="minorHAnsi" w:hAnsiTheme="minorHAnsi" w:cstheme="minorHAnsi"/>
        </w:rPr>
        <w:t xml:space="preserve"> </w:t>
      </w:r>
      <w:r w:rsidR="008201AB" w:rsidRPr="00382FC7">
        <w:rPr>
          <w:rFonts w:asciiTheme="minorHAnsi" w:hAnsiTheme="minorHAnsi" w:cstheme="minorHAnsi"/>
        </w:rPr>
        <w:t xml:space="preserve">Tim Winter, “Realism and the Real: Islamic Theology and the Problem of Alternative Expressions of God,” in </w:t>
      </w:r>
    </w:p>
    <w:p w14:paraId="30553853" w14:textId="3D99CB8D" w:rsidR="008201AB" w:rsidRPr="00382FC7" w:rsidRDefault="008201AB" w:rsidP="004E55DF">
      <w:pPr>
        <w:pStyle w:val="ListParagraph"/>
        <w:numPr>
          <w:ilvl w:val="1"/>
          <w:numId w:val="17"/>
        </w:numPr>
        <w:rPr>
          <w:rFonts w:asciiTheme="minorHAnsi" w:hAnsiTheme="minorHAnsi" w:cstheme="minorHAnsi"/>
        </w:rPr>
      </w:pPr>
      <w:r w:rsidRPr="00382FC7">
        <w:rPr>
          <w:rFonts w:asciiTheme="minorHAnsi" w:hAnsiTheme="minorHAnsi" w:cstheme="minorHAnsi"/>
        </w:rPr>
        <w:t xml:space="preserve">Mohammad </w:t>
      </w:r>
      <w:proofErr w:type="spellStart"/>
      <w:r w:rsidRPr="00382FC7">
        <w:rPr>
          <w:rFonts w:asciiTheme="minorHAnsi" w:hAnsiTheme="minorHAnsi" w:cstheme="minorHAnsi"/>
        </w:rPr>
        <w:t>Fadel</w:t>
      </w:r>
      <w:proofErr w:type="spellEnd"/>
      <w:r w:rsidRPr="00382FC7">
        <w:rPr>
          <w:rFonts w:asciiTheme="minorHAnsi" w:hAnsiTheme="minorHAnsi" w:cstheme="minorHAnsi"/>
        </w:rPr>
        <w:t xml:space="preserve">, “No Salvation Outside Islam: Muslim Modernists, Democratic Politics, and Islamic Theological Exclusivism,” in </w:t>
      </w:r>
      <w:r w:rsidRPr="00382FC7">
        <w:rPr>
          <w:rFonts w:asciiTheme="minorHAnsi" w:hAnsiTheme="minorHAnsi" w:cstheme="minorHAnsi"/>
          <w:i/>
          <w:iCs/>
        </w:rPr>
        <w:t>Between Heaven and Hell: Islam, Salvation, and the Fate of Others</w:t>
      </w:r>
    </w:p>
    <w:p w14:paraId="505E9AB9" w14:textId="1A5D9EDE" w:rsidR="008201AB" w:rsidRPr="00382FC7" w:rsidRDefault="008201AB" w:rsidP="004E55DF">
      <w:pPr>
        <w:pStyle w:val="ListParagraph"/>
        <w:numPr>
          <w:ilvl w:val="1"/>
          <w:numId w:val="17"/>
        </w:numPr>
        <w:rPr>
          <w:rFonts w:asciiTheme="minorHAnsi" w:hAnsiTheme="minorHAnsi" w:cstheme="minorHAnsi"/>
        </w:rPr>
      </w:pPr>
      <w:r w:rsidRPr="00382FC7">
        <w:rPr>
          <w:rFonts w:asciiTheme="minorHAnsi" w:hAnsiTheme="minorHAnsi" w:cstheme="minorHAnsi"/>
        </w:rPr>
        <w:t>Reza Shah-</w:t>
      </w:r>
      <w:proofErr w:type="spellStart"/>
      <w:r w:rsidRPr="00382FC7">
        <w:rPr>
          <w:rFonts w:asciiTheme="minorHAnsi" w:hAnsiTheme="minorHAnsi" w:cstheme="minorHAnsi"/>
        </w:rPr>
        <w:t>Kazemi</w:t>
      </w:r>
      <w:proofErr w:type="spellEnd"/>
      <w:r w:rsidRPr="00382FC7">
        <w:rPr>
          <w:rFonts w:asciiTheme="minorHAnsi" w:hAnsiTheme="minorHAnsi" w:cstheme="minorHAnsi"/>
        </w:rPr>
        <w:t xml:space="preserve">, “Beyond Polemics and Pluralism: The Universal Message of the Qur’an,” in </w:t>
      </w:r>
      <w:r w:rsidRPr="00382FC7">
        <w:rPr>
          <w:rFonts w:asciiTheme="minorHAnsi" w:hAnsiTheme="minorHAnsi" w:cstheme="minorHAnsi"/>
          <w:i/>
          <w:iCs/>
        </w:rPr>
        <w:t>Between Heaven and Hell: Islam, Salvation, and the Fate of Others</w:t>
      </w:r>
    </w:p>
    <w:p w14:paraId="58628B7D" w14:textId="14A46E16" w:rsidR="008201AB" w:rsidRPr="00382FC7" w:rsidRDefault="008201AB" w:rsidP="004E55DF">
      <w:pPr>
        <w:pStyle w:val="ListParagraph"/>
        <w:numPr>
          <w:ilvl w:val="1"/>
          <w:numId w:val="17"/>
        </w:numPr>
        <w:rPr>
          <w:rFonts w:asciiTheme="minorHAnsi" w:hAnsiTheme="minorHAnsi" w:cstheme="minorHAnsi"/>
        </w:rPr>
      </w:pPr>
      <w:proofErr w:type="spellStart"/>
      <w:r w:rsidRPr="00382FC7">
        <w:rPr>
          <w:rFonts w:asciiTheme="minorHAnsi" w:hAnsiTheme="minorHAnsi" w:cstheme="minorHAnsi"/>
        </w:rPr>
        <w:t>Jerusha</w:t>
      </w:r>
      <w:proofErr w:type="spellEnd"/>
      <w:r w:rsidRPr="00382FC7">
        <w:rPr>
          <w:rFonts w:asciiTheme="minorHAnsi" w:hAnsiTheme="minorHAnsi" w:cstheme="minorHAnsi"/>
        </w:rPr>
        <w:t xml:space="preserve"> </w:t>
      </w:r>
      <w:proofErr w:type="spellStart"/>
      <w:r w:rsidRPr="00382FC7">
        <w:rPr>
          <w:rFonts w:asciiTheme="minorHAnsi" w:hAnsiTheme="minorHAnsi" w:cstheme="minorHAnsi"/>
        </w:rPr>
        <w:t>Lamptey</w:t>
      </w:r>
      <w:proofErr w:type="spellEnd"/>
      <w:r w:rsidRPr="00382FC7">
        <w:rPr>
          <w:rFonts w:asciiTheme="minorHAnsi" w:hAnsiTheme="minorHAnsi" w:cstheme="minorHAnsi"/>
        </w:rPr>
        <w:t xml:space="preserve">, “Embracing </w:t>
      </w:r>
      <w:proofErr w:type="spellStart"/>
      <w:r w:rsidRPr="00382FC7">
        <w:rPr>
          <w:rFonts w:asciiTheme="minorHAnsi" w:hAnsiTheme="minorHAnsi" w:cstheme="minorHAnsi"/>
        </w:rPr>
        <w:t>Relationality</w:t>
      </w:r>
      <w:proofErr w:type="spellEnd"/>
      <w:r w:rsidRPr="00382FC7">
        <w:rPr>
          <w:rFonts w:asciiTheme="minorHAnsi" w:hAnsiTheme="minorHAnsi" w:cstheme="minorHAnsi"/>
        </w:rPr>
        <w:t xml:space="preserve"> and Theological Tensions,” in </w:t>
      </w:r>
      <w:r w:rsidRPr="00382FC7">
        <w:rPr>
          <w:rFonts w:asciiTheme="minorHAnsi" w:hAnsiTheme="minorHAnsi" w:cstheme="minorHAnsi"/>
          <w:i/>
          <w:iCs/>
        </w:rPr>
        <w:t>Between Heaven and Hell: Islam, Salvation, and the Fate of Others</w:t>
      </w:r>
    </w:p>
    <w:p w14:paraId="578E23E8" w14:textId="73E7F37E" w:rsidR="008201AB" w:rsidRPr="00382FC7" w:rsidRDefault="004E55DF" w:rsidP="008201AB">
      <w:pPr>
        <w:pStyle w:val="ListParagraph"/>
        <w:numPr>
          <w:ilvl w:val="0"/>
          <w:numId w:val="17"/>
        </w:numPr>
        <w:rPr>
          <w:rFonts w:asciiTheme="minorHAnsi" w:hAnsiTheme="minorHAnsi" w:cstheme="minorHAnsi"/>
        </w:rPr>
      </w:pPr>
      <w:r w:rsidRPr="004E55DF">
        <w:rPr>
          <w:rFonts w:asciiTheme="minorHAnsi" w:hAnsiTheme="minorHAnsi" w:cstheme="minorHAnsi"/>
          <w:u w:val="single"/>
        </w:rPr>
        <w:t>Enrichment:</w:t>
      </w:r>
      <w:r>
        <w:rPr>
          <w:rFonts w:asciiTheme="minorHAnsi" w:hAnsiTheme="minorHAnsi" w:cstheme="minorHAnsi"/>
        </w:rPr>
        <w:t xml:space="preserve"> </w:t>
      </w:r>
      <w:r w:rsidR="008201AB" w:rsidRPr="00382FC7">
        <w:rPr>
          <w:rFonts w:asciiTheme="minorHAnsi" w:hAnsiTheme="minorHAnsi" w:cstheme="minorHAnsi"/>
        </w:rPr>
        <w:t xml:space="preserve">Christian Lange, “Ibn </w:t>
      </w:r>
      <w:proofErr w:type="spellStart"/>
      <w:r w:rsidR="008201AB" w:rsidRPr="00382FC7">
        <w:rPr>
          <w:rFonts w:asciiTheme="minorHAnsi" w:hAnsiTheme="minorHAnsi" w:cstheme="minorHAnsi"/>
        </w:rPr>
        <w:t>Hazm</w:t>
      </w:r>
      <w:proofErr w:type="spellEnd"/>
      <w:r w:rsidR="008201AB" w:rsidRPr="00382FC7">
        <w:rPr>
          <w:rFonts w:asciiTheme="minorHAnsi" w:hAnsiTheme="minorHAnsi" w:cstheme="minorHAnsi"/>
        </w:rPr>
        <w:t xml:space="preserve"> on Sins and Salvation”</w:t>
      </w:r>
    </w:p>
    <w:p w14:paraId="22E2DCFF" w14:textId="6B6E5BB9" w:rsidR="003B6979" w:rsidRPr="00382FC7" w:rsidRDefault="003B6979" w:rsidP="008201AB">
      <w:pPr>
        <w:rPr>
          <w:rFonts w:cstheme="minorHAnsi"/>
          <w:b/>
          <w:bCs/>
        </w:rPr>
      </w:pPr>
    </w:p>
    <w:p w14:paraId="58344B35" w14:textId="24751289" w:rsidR="008201AB" w:rsidRPr="00382FC7" w:rsidRDefault="008F5ACB" w:rsidP="004E55DF">
      <w:pPr>
        <w:rPr>
          <w:rFonts w:cstheme="minorHAnsi"/>
          <w:b/>
          <w:bCs/>
        </w:rPr>
      </w:pPr>
      <w:r w:rsidRPr="00382FC7">
        <w:rPr>
          <w:rFonts w:cstheme="minorHAnsi"/>
          <w:b/>
          <w:bCs/>
        </w:rPr>
        <w:t xml:space="preserve">Class </w:t>
      </w:r>
      <w:r w:rsidR="00BE4D11" w:rsidRPr="00382FC7">
        <w:rPr>
          <w:rFonts w:cstheme="minorHAnsi"/>
          <w:b/>
          <w:bCs/>
        </w:rPr>
        <w:t>Nine: March 17</w:t>
      </w:r>
      <w:r w:rsidRPr="00382FC7">
        <w:rPr>
          <w:rFonts w:cstheme="minorHAnsi"/>
          <w:b/>
          <w:bCs/>
        </w:rPr>
        <w:t xml:space="preserve"> </w:t>
      </w:r>
      <w:r w:rsidR="008201AB" w:rsidRPr="00382FC7">
        <w:rPr>
          <w:rFonts w:cstheme="minorHAnsi"/>
          <w:b/>
          <w:bCs/>
        </w:rPr>
        <w:t>– Why Do Evil and Suffering Exist?</w:t>
      </w:r>
      <w:r w:rsidR="0010440F">
        <w:rPr>
          <w:rFonts w:cstheme="minorHAnsi"/>
          <w:b/>
          <w:bCs/>
        </w:rPr>
        <w:t xml:space="preserve"> </w:t>
      </w:r>
    </w:p>
    <w:p w14:paraId="5BFCB786" w14:textId="5C768132" w:rsidR="008201AB" w:rsidRPr="004E55DF" w:rsidRDefault="00CE02E6" w:rsidP="008201AB">
      <w:pPr>
        <w:pStyle w:val="ListParagraph"/>
        <w:numPr>
          <w:ilvl w:val="0"/>
          <w:numId w:val="17"/>
        </w:numPr>
        <w:rPr>
          <w:rFonts w:asciiTheme="minorHAnsi" w:hAnsiTheme="minorHAnsi" w:cstheme="minorHAnsi"/>
          <w:i/>
          <w:iCs/>
        </w:rPr>
      </w:pPr>
      <w:r w:rsidRPr="00CE02E6">
        <w:rPr>
          <w:rFonts w:asciiTheme="minorHAnsi" w:hAnsiTheme="minorHAnsi" w:cstheme="minorHAnsi"/>
          <w:color w:val="FF0000"/>
        </w:rPr>
        <w:t xml:space="preserve">All: </w:t>
      </w:r>
      <w:r w:rsidR="008201AB" w:rsidRPr="00382FC7">
        <w:rPr>
          <w:rFonts w:asciiTheme="minorHAnsi" w:hAnsiTheme="minorHAnsi" w:cstheme="minorHAnsi"/>
        </w:rPr>
        <w:t xml:space="preserve">Michael W. </w:t>
      </w:r>
      <w:proofErr w:type="spellStart"/>
      <w:r w:rsidR="008201AB" w:rsidRPr="00382FC7">
        <w:rPr>
          <w:rFonts w:asciiTheme="minorHAnsi" w:hAnsiTheme="minorHAnsi" w:cstheme="minorHAnsi"/>
        </w:rPr>
        <w:t>Dols</w:t>
      </w:r>
      <w:proofErr w:type="spellEnd"/>
      <w:r w:rsidR="008201AB" w:rsidRPr="00382FC7">
        <w:rPr>
          <w:rFonts w:asciiTheme="minorHAnsi" w:hAnsiTheme="minorHAnsi" w:cstheme="minorHAnsi"/>
        </w:rPr>
        <w:t xml:space="preserve">, “The Comparative Communal Response to the Black Death in Muslim and Christian Societies,” chapter from </w:t>
      </w:r>
      <w:r w:rsidR="008201AB" w:rsidRPr="00382FC7">
        <w:rPr>
          <w:rFonts w:asciiTheme="minorHAnsi" w:hAnsiTheme="minorHAnsi" w:cstheme="minorHAnsi"/>
          <w:i/>
          <w:iCs/>
        </w:rPr>
        <w:t xml:space="preserve">The Black Death in the Middle East </w:t>
      </w:r>
      <w:r w:rsidR="008201AB" w:rsidRPr="00382FC7">
        <w:rPr>
          <w:rFonts w:asciiTheme="minorHAnsi" w:hAnsiTheme="minorHAnsi" w:cstheme="minorHAnsi"/>
        </w:rPr>
        <w:t>(Princeton: Princeton University Press, 1977), 269-287.</w:t>
      </w:r>
    </w:p>
    <w:p w14:paraId="49472F9C" w14:textId="2390AFAE" w:rsidR="004E55DF" w:rsidRPr="004E55DF" w:rsidRDefault="004E55DF" w:rsidP="004E55DF">
      <w:pPr>
        <w:pStyle w:val="ListParagraph"/>
        <w:numPr>
          <w:ilvl w:val="0"/>
          <w:numId w:val="17"/>
        </w:numPr>
        <w:rPr>
          <w:rFonts w:asciiTheme="minorHAnsi" w:hAnsiTheme="minorHAnsi" w:cstheme="minorHAnsi"/>
          <w:i/>
          <w:iCs/>
        </w:rPr>
      </w:pPr>
      <w:r>
        <w:rPr>
          <w:rFonts w:asciiTheme="minorHAnsi" w:hAnsiTheme="minorHAnsi" w:cstheme="minorHAnsi"/>
        </w:rPr>
        <w:t xml:space="preserve">Chapters from </w:t>
      </w:r>
      <w:r w:rsidRPr="00382FC7">
        <w:rPr>
          <w:rFonts w:asciiTheme="minorHAnsi" w:hAnsiTheme="minorHAnsi" w:cstheme="minorHAnsi"/>
        </w:rPr>
        <w:t xml:space="preserve">Sherman Jackson, </w:t>
      </w:r>
      <w:r w:rsidRPr="00382FC7">
        <w:rPr>
          <w:rFonts w:asciiTheme="minorHAnsi" w:hAnsiTheme="minorHAnsi" w:cstheme="minorHAnsi"/>
          <w:i/>
          <w:iCs/>
        </w:rPr>
        <w:t>Islam and the Problem of Black Suffering</w:t>
      </w:r>
      <w:r>
        <w:rPr>
          <w:rFonts w:asciiTheme="minorHAnsi" w:hAnsiTheme="minorHAnsi" w:cstheme="minorHAnsi"/>
          <w:i/>
          <w:iCs/>
        </w:rPr>
        <w:t xml:space="preserve"> </w:t>
      </w:r>
      <w:r w:rsidRPr="0076037B">
        <w:rPr>
          <w:rFonts w:asciiTheme="minorHAnsi" w:hAnsiTheme="minorHAnsi" w:cstheme="minorHAnsi"/>
          <w:u w:val="single"/>
        </w:rPr>
        <w:t>will be assigned to individual students</w:t>
      </w:r>
      <w:r>
        <w:rPr>
          <w:rFonts w:asciiTheme="minorHAnsi" w:hAnsiTheme="minorHAnsi" w:cstheme="minorHAnsi"/>
        </w:rPr>
        <w:t>:</w:t>
      </w:r>
    </w:p>
    <w:p w14:paraId="00B05FAF" w14:textId="28C1F145" w:rsidR="004E55DF" w:rsidRPr="0098465F" w:rsidRDefault="0098465F" w:rsidP="004E55DF">
      <w:pPr>
        <w:pStyle w:val="ListParagraph"/>
        <w:numPr>
          <w:ilvl w:val="1"/>
          <w:numId w:val="17"/>
        </w:numPr>
        <w:rPr>
          <w:rFonts w:asciiTheme="minorHAnsi" w:hAnsiTheme="minorHAnsi" w:cstheme="minorHAnsi"/>
          <w:i/>
          <w:iCs/>
        </w:rPr>
      </w:pPr>
      <w:r>
        <w:rPr>
          <w:rFonts w:asciiTheme="minorHAnsi" w:hAnsiTheme="minorHAnsi" w:cstheme="minorHAnsi"/>
        </w:rPr>
        <w:t xml:space="preserve">Chapter 2: </w:t>
      </w:r>
      <w:proofErr w:type="spellStart"/>
      <w:r>
        <w:rPr>
          <w:rFonts w:asciiTheme="minorHAnsi" w:hAnsiTheme="minorHAnsi" w:cstheme="minorHAnsi"/>
        </w:rPr>
        <w:t>Mu`tazilism</w:t>
      </w:r>
      <w:proofErr w:type="spellEnd"/>
      <w:r>
        <w:rPr>
          <w:rFonts w:asciiTheme="minorHAnsi" w:hAnsiTheme="minorHAnsi" w:cstheme="minorHAnsi"/>
        </w:rPr>
        <w:t xml:space="preserve"> and Black Theodicy</w:t>
      </w:r>
    </w:p>
    <w:p w14:paraId="3351BA9C" w14:textId="17C93AF9" w:rsidR="0098465F" w:rsidRPr="0098465F" w:rsidRDefault="0098465F" w:rsidP="004E55DF">
      <w:pPr>
        <w:pStyle w:val="ListParagraph"/>
        <w:numPr>
          <w:ilvl w:val="1"/>
          <w:numId w:val="17"/>
        </w:numPr>
        <w:rPr>
          <w:rFonts w:asciiTheme="minorHAnsi" w:hAnsiTheme="minorHAnsi" w:cstheme="minorHAnsi"/>
          <w:i/>
          <w:iCs/>
        </w:rPr>
      </w:pPr>
      <w:r>
        <w:rPr>
          <w:rFonts w:asciiTheme="minorHAnsi" w:hAnsiTheme="minorHAnsi" w:cstheme="minorHAnsi"/>
        </w:rPr>
        <w:t xml:space="preserve">Chapter 3: </w:t>
      </w:r>
      <w:proofErr w:type="spellStart"/>
      <w:r>
        <w:rPr>
          <w:rFonts w:asciiTheme="minorHAnsi" w:hAnsiTheme="minorHAnsi" w:cstheme="minorHAnsi"/>
        </w:rPr>
        <w:t>Ash`arism</w:t>
      </w:r>
      <w:proofErr w:type="spellEnd"/>
      <w:r>
        <w:rPr>
          <w:rFonts w:asciiTheme="minorHAnsi" w:hAnsiTheme="minorHAnsi" w:cstheme="minorHAnsi"/>
        </w:rPr>
        <w:t xml:space="preserve"> and Black Theodicy</w:t>
      </w:r>
    </w:p>
    <w:p w14:paraId="07B6BB74" w14:textId="3A577A5A" w:rsidR="0098465F" w:rsidRPr="0098465F" w:rsidRDefault="0098465F" w:rsidP="004E55DF">
      <w:pPr>
        <w:pStyle w:val="ListParagraph"/>
        <w:numPr>
          <w:ilvl w:val="1"/>
          <w:numId w:val="17"/>
        </w:numPr>
        <w:rPr>
          <w:rFonts w:asciiTheme="minorHAnsi" w:hAnsiTheme="minorHAnsi" w:cstheme="minorHAnsi"/>
          <w:i/>
          <w:iCs/>
        </w:rPr>
      </w:pPr>
      <w:r>
        <w:rPr>
          <w:rFonts w:asciiTheme="minorHAnsi" w:hAnsiTheme="minorHAnsi" w:cstheme="minorHAnsi"/>
        </w:rPr>
        <w:t xml:space="preserve">Chapter 4: </w:t>
      </w:r>
      <w:proofErr w:type="spellStart"/>
      <w:r>
        <w:rPr>
          <w:rFonts w:asciiTheme="minorHAnsi" w:hAnsiTheme="minorHAnsi" w:cstheme="minorHAnsi"/>
        </w:rPr>
        <w:t>Maturidism</w:t>
      </w:r>
      <w:proofErr w:type="spellEnd"/>
      <w:r>
        <w:rPr>
          <w:rFonts w:asciiTheme="minorHAnsi" w:hAnsiTheme="minorHAnsi" w:cstheme="minorHAnsi"/>
        </w:rPr>
        <w:t xml:space="preserve"> and Black Theodicy</w:t>
      </w:r>
    </w:p>
    <w:p w14:paraId="2FDD6F40" w14:textId="56E2BA17" w:rsidR="0098465F" w:rsidRPr="004E55DF" w:rsidRDefault="0098465F" w:rsidP="004E55DF">
      <w:pPr>
        <w:pStyle w:val="ListParagraph"/>
        <w:numPr>
          <w:ilvl w:val="1"/>
          <w:numId w:val="17"/>
        </w:numPr>
        <w:rPr>
          <w:rFonts w:asciiTheme="minorHAnsi" w:hAnsiTheme="minorHAnsi" w:cstheme="minorHAnsi"/>
          <w:i/>
          <w:iCs/>
        </w:rPr>
      </w:pPr>
      <w:r>
        <w:rPr>
          <w:rFonts w:asciiTheme="minorHAnsi" w:hAnsiTheme="minorHAnsi" w:cstheme="minorHAnsi"/>
        </w:rPr>
        <w:t>Chapter 5: Traditionalism and Black Theodicy</w:t>
      </w:r>
    </w:p>
    <w:p w14:paraId="5BA5377E" w14:textId="0919669A" w:rsidR="008F5ACB" w:rsidRPr="00382FC7" w:rsidRDefault="008F5ACB" w:rsidP="00073EB8">
      <w:pPr>
        <w:rPr>
          <w:rFonts w:cstheme="minorHAnsi"/>
          <w:b/>
          <w:bCs/>
        </w:rPr>
      </w:pPr>
    </w:p>
    <w:p w14:paraId="2A6373FA" w14:textId="06FB02CB" w:rsidR="00F61528" w:rsidRPr="00382FC7" w:rsidRDefault="008F5ACB" w:rsidP="00F61528">
      <w:pPr>
        <w:rPr>
          <w:rFonts w:cstheme="minorHAnsi"/>
          <w:b/>
          <w:bCs/>
        </w:rPr>
      </w:pPr>
      <w:r w:rsidRPr="00382FC7">
        <w:rPr>
          <w:rFonts w:cstheme="minorHAnsi"/>
          <w:b/>
          <w:bCs/>
        </w:rPr>
        <w:t xml:space="preserve">Class </w:t>
      </w:r>
      <w:r w:rsidR="00B4313A" w:rsidRPr="00382FC7">
        <w:rPr>
          <w:rFonts w:cstheme="minorHAnsi"/>
          <w:b/>
          <w:bCs/>
        </w:rPr>
        <w:t xml:space="preserve">Ten: </w:t>
      </w:r>
      <w:r w:rsidR="00F61528" w:rsidRPr="00382FC7">
        <w:rPr>
          <w:rFonts w:cstheme="minorHAnsi"/>
          <w:b/>
          <w:bCs/>
        </w:rPr>
        <w:t xml:space="preserve">March </w:t>
      </w:r>
      <w:r w:rsidR="008201AB" w:rsidRPr="00382FC7">
        <w:rPr>
          <w:rFonts w:cstheme="minorHAnsi"/>
          <w:b/>
          <w:bCs/>
        </w:rPr>
        <w:t>24 –</w:t>
      </w:r>
      <w:r w:rsidR="00F61528" w:rsidRPr="00382FC7">
        <w:rPr>
          <w:rFonts w:cstheme="minorHAnsi"/>
          <w:b/>
          <w:bCs/>
        </w:rPr>
        <w:t xml:space="preserve"> Does God Favor Men over Women?</w:t>
      </w:r>
    </w:p>
    <w:p w14:paraId="446512DD" w14:textId="77777777" w:rsidR="00F61528" w:rsidRPr="00382FC7" w:rsidRDefault="00F61528" w:rsidP="00F61528">
      <w:pPr>
        <w:pStyle w:val="ListParagraph"/>
        <w:numPr>
          <w:ilvl w:val="0"/>
          <w:numId w:val="4"/>
        </w:numPr>
        <w:rPr>
          <w:rFonts w:asciiTheme="minorHAnsi" w:hAnsiTheme="minorHAnsi" w:cstheme="minorHAnsi"/>
        </w:rPr>
      </w:pPr>
      <w:proofErr w:type="spellStart"/>
      <w:r w:rsidRPr="00382FC7">
        <w:rPr>
          <w:rFonts w:asciiTheme="minorHAnsi" w:hAnsiTheme="minorHAnsi" w:cstheme="minorHAnsi"/>
        </w:rPr>
        <w:t>Riffat</w:t>
      </w:r>
      <w:proofErr w:type="spellEnd"/>
      <w:r w:rsidRPr="00382FC7">
        <w:rPr>
          <w:rFonts w:asciiTheme="minorHAnsi" w:hAnsiTheme="minorHAnsi" w:cstheme="minorHAnsi"/>
        </w:rPr>
        <w:t xml:space="preserve"> Hassan, “Women and Man’s “Fall”,” in </w:t>
      </w:r>
      <w:proofErr w:type="spellStart"/>
      <w:r w:rsidRPr="00382FC7">
        <w:rPr>
          <w:rFonts w:asciiTheme="minorHAnsi" w:hAnsiTheme="minorHAnsi" w:cstheme="minorHAnsi"/>
          <w:i/>
          <w:iCs/>
        </w:rPr>
        <w:t>Muslima</w:t>
      </w:r>
      <w:proofErr w:type="spellEnd"/>
      <w:r w:rsidRPr="00382FC7">
        <w:rPr>
          <w:rFonts w:asciiTheme="minorHAnsi" w:hAnsiTheme="minorHAnsi" w:cstheme="minorHAnsi"/>
          <w:i/>
          <w:iCs/>
        </w:rPr>
        <w:t xml:space="preserve"> Theology</w:t>
      </w:r>
    </w:p>
    <w:p w14:paraId="74918857" w14:textId="77777777" w:rsidR="00F61528" w:rsidRPr="00382FC7" w:rsidRDefault="00F61528" w:rsidP="00F61528">
      <w:pPr>
        <w:pStyle w:val="ListParagraph"/>
        <w:numPr>
          <w:ilvl w:val="0"/>
          <w:numId w:val="4"/>
        </w:numPr>
        <w:rPr>
          <w:rFonts w:asciiTheme="minorHAnsi" w:hAnsiTheme="minorHAnsi" w:cstheme="minorHAnsi"/>
        </w:rPr>
      </w:pPr>
      <w:proofErr w:type="spellStart"/>
      <w:r w:rsidRPr="00382FC7">
        <w:rPr>
          <w:rFonts w:asciiTheme="minorHAnsi" w:hAnsiTheme="minorHAnsi" w:cstheme="minorHAnsi"/>
        </w:rPr>
        <w:t>Asma</w:t>
      </w:r>
      <w:proofErr w:type="spellEnd"/>
      <w:r w:rsidRPr="00382FC7">
        <w:rPr>
          <w:rFonts w:asciiTheme="minorHAnsi" w:hAnsiTheme="minorHAnsi" w:cstheme="minorHAnsi"/>
        </w:rPr>
        <w:t xml:space="preserve"> </w:t>
      </w:r>
      <w:proofErr w:type="spellStart"/>
      <w:r w:rsidRPr="00382FC7">
        <w:rPr>
          <w:rFonts w:asciiTheme="minorHAnsi" w:hAnsiTheme="minorHAnsi" w:cstheme="minorHAnsi"/>
        </w:rPr>
        <w:t>Lamrabet</w:t>
      </w:r>
      <w:proofErr w:type="spellEnd"/>
      <w:r w:rsidRPr="00382FC7">
        <w:rPr>
          <w:rFonts w:asciiTheme="minorHAnsi" w:hAnsiTheme="minorHAnsi" w:cstheme="minorHAnsi"/>
        </w:rPr>
        <w:t xml:space="preserve">, “An Egalitarian Reading of the Concepts of </w:t>
      </w:r>
      <w:proofErr w:type="spellStart"/>
      <w:r w:rsidRPr="00382FC7">
        <w:rPr>
          <w:rFonts w:asciiTheme="minorHAnsi" w:hAnsiTheme="minorHAnsi" w:cstheme="minorHAnsi"/>
          <w:i/>
          <w:iCs/>
        </w:rPr>
        <w:t>Khilafah</w:t>
      </w:r>
      <w:proofErr w:type="spellEnd"/>
      <w:r w:rsidRPr="00382FC7">
        <w:rPr>
          <w:rFonts w:asciiTheme="minorHAnsi" w:hAnsiTheme="minorHAnsi" w:cstheme="minorHAnsi"/>
          <w:i/>
          <w:iCs/>
        </w:rPr>
        <w:t xml:space="preserve">, Wilayah, and </w:t>
      </w:r>
      <w:proofErr w:type="spellStart"/>
      <w:r w:rsidRPr="00382FC7">
        <w:rPr>
          <w:rFonts w:asciiTheme="minorHAnsi" w:hAnsiTheme="minorHAnsi" w:cstheme="minorHAnsi"/>
          <w:i/>
          <w:iCs/>
        </w:rPr>
        <w:t>Qiwamah</w:t>
      </w:r>
      <w:proofErr w:type="spellEnd"/>
      <w:r w:rsidRPr="00382FC7">
        <w:rPr>
          <w:rFonts w:asciiTheme="minorHAnsi" w:hAnsiTheme="minorHAnsi" w:cstheme="minorHAnsi"/>
          <w:i/>
          <w:iCs/>
        </w:rPr>
        <w:t xml:space="preserve">,” </w:t>
      </w:r>
      <w:r w:rsidRPr="00382FC7">
        <w:rPr>
          <w:rFonts w:asciiTheme="minorHAnsi" w:hAnsiTheme="minorHAnsi" w:cstheme="minorHAnsi"/>
        </w:rPr>
        <w:t xml:space="preserve">from </w:t>
      </w:r>
      <w:r w:rsidRPr="00382FC7">
        <w:rPr>
          <w:rFonts w:asciiTheme="minorHAnsi" w:hAnsiTheme="minorHAnsi" w:cstheme="minorHAnsi"/>
          <w:i/>
          <w:iCs/>
        </w:rPr>
        <w:t>Men in Charge: Rethinking Authority in Muslim Legal Tradition</w:t>
      </w:r>
    </w:p>
    <w:p w14:paraId="0E286C91" w14:textId="5D31B603" w:rsidR="00F61528" w:rsidRPr="00382FC7" w:rsidRDefault="00F61528" w:rsidP="00765574">
      <w:pPr>
        <w:pStyle w:val="ListParagraph"/>
        <w:numPr>
          <w:ilvl w:val="0"/>
          <w:numId w:val="4"/>
        </w:numPr>
        <w:rPr>
          <w:rFonts w:asciiTheme="minorHAnsi" w:hAnsiTheme="minorHAnsi" w:cstheme="minorHAnsi"/>
        </w:rPr>
      </w:pPr>
      <w:r w:rsidRPr="00382FC7">
        <w:rPr>
          <w:rFonts w:asciiTheme="minorHAnsi" w:hAnsiTheme="minorHAnsi" w:cstheme="minorHAnsi"/>
        </w:rPr>
        <w:t xml:space="preserve">Amina </w:t>
      </w:r>
      <w:proofErr w:type="spellStart"/>
      <w:r w:rsidRPr="00382FC7">
        <w:rPr>
          <w:rFonts w:asciiTheme="minorHAnsi" w:hAnsiTheme="minorHAnsi" w:cstheme="minorHAnsi"/>
        </w:rPr>
        <w:t>Wadud</w:t>
      </w:r>
      <w:proofErr w:type="spellEnd"/>
      <w:r w:rsidRPr="00382FC7">
        <w:rPr>
          <w:rFonts w:asciiTheme="minorHAnsi" w:hAnsiTheme="minorHAnsi" w:cstheme="minorHAnsi"/>
        </w:rPr>
        <w:t xml:space="preserve">, </w:t>
      </w:r>
      <w:r w:rsidR="00765574">
        <w:rPr>
          <w:rFonts w:asciiTheme="minorHAnsi" w:hAnsiTheme="minorHAnsi" w:cstheme="minorHAnsi"/>
        </w:rPr>
        <w:t>“</w:t>
      </w:r>
      <w:proofErr w:type="spellStart"/>
      <w:r w:rsidR="00765574">
        <w:rPr>
          <w:rFonts w:asciiTheme="minorHAnsi" w:hAnsiTheme="minorHAnsi" w:cstheme="minorHAnsi"/>
          <w:i/>
          <w:iCs/>
        </w:rPr>
        <w:t>Musawah</w:t>
      </w:r>
      <w:proofErr w:type="spellEnd"/>
      <w:r w:rsidR="00765574">
        <w:rPr>
          <w:rFonts w:asciiTheme="minorHAnsi" w:hAnsiTheme="minorHAnsi" w:cstheme="minorHAnsi"/>
          <w:i/>
          <w:iCs/>
        </w:rPr>
        <w:t xml:space="preserve">: </w:t>
      </w:r>
      <w:r w:rsidR="00765574">
        <w:rPr>
          <w:rFonts w:asciiTheme="minorHAnsi" w:hAnsiTheme="minorHAnsi" w:cstheme="minorHAnsi"/>
        </w:rPr>
        <w:t xml:space="preserve">Gender Equity through Qur’anic Discourse,” Chapter 4 of </w:t>
      </w:r>
      <w:r w:rsidR="00765574">
        <w:rPr>
          <w:rFonts w:asciiTheme="minorHAnsi" w:hAnsiTheme="minorHAnsi" w:cstheme="minorHAnsi"/>
          <w:i/>
          <w:iCs/>
        </w:rPr>
        <w:t>Communities of the Qur’an: Dialogue, debate and diversity in the twenty-first century</w:t>
      </w:r>
      <w:r w:rsidR="00765574">
        <w:rPr>
          <w:rFonts w:asciiTheme="minorHAnsi" w:hAnsiTheme="minorHAnsi" w:cstheme="minorHAnsi"/>
        </w:rPr>
        <w:t xml:space="preserve"> </w:t>
      </w:r>
    </w:p>
    <w:p w14:paraId="009DC694" w14:textId="3EE6A857" w:rsidR="002C2698" w:rsidRPr="00382FC7" w:rsidRDefault="002C2698" w:rsidP="00073EB8">
      <w:pPr>
        <w:rPr>
          <w:rFonts w:cstheme="minorHAnsi"/>
          <w:b/>
          <w:bCs/>
        </w:rPr>
      </w:pPr>
    </w:p>
    <w:p w14:paraId="0807CA59" w14:textId="12FB1C1B" w:rsidR="00F61528" w:rsidRPr="00382FC7" w:rsidRDefault="008F5ACB" w:rsidP="00F61528">
      <w:pPr>
        <w:rPr>
          <w:rFonts w:cstheme="minorHAnsi"/>
          <w:b/>
          <w:bCs/>
        </w:rPr>
      </w:pPr>
      <w:r w:rsidRPr="00382FC7">
        <w:rPr>
          <w:rFonts w:cstheme="minorHAnsi"/>
          <w:b/>
          <w:bCs/>
        </w:rPr>
        <w:t xml:space="preserve">Class </w:t>
      </w:r>
      <w:r w:rsidR="00BE4D11" w:rsidRPr="00382FC7">
        <w:rPr>
          <w:rFonts w:cstheme="minorHAnsi"/>
          <w:b/>
          <w:bCs/>
        </w:rPr>
        <w:t>Eleven: March 31</w:t>
      </w:r>
      <w:r w:rsidR="00F61528" w:rsidRPr="00382FC7">
        <w:rPr>
          <w:rFonts w:cstheme="minorHAnsi"/>
          <w:b/>
          <w:bCs/>
        </w:rPr>
        <w:t xml:space="preserve"> – Are Science and Religion in Conflict?</w:t>
      </w:r>
    </w:p>
    <w:p w14:paraId="2DEA612B" w14:textId="77777777" w:rsidR="00F61528" w:rsidRPr="00382FC7" w:rsidRDefault="00F61528" w:rsidP="00F61528">
      <w:pPr>
        <w:pStyle w:val="ListParagraph"/>
        <w:numPr>
          <w:ilvl w:val="0"/>
          <w:numId w:val="31"/>
        </w:numPr>
        <w:rPr>
          <w:rFonts w:asciiTheme="minorHAnsi" w:hAnsiTheme="minorHAnsi" w:cstheme="minorHAnsi"/>
        </w:rPr>
      </w:pPr>
      <w:proofErr w:type="spellStart"/>
      <w:r w:rsidRPr="00382FC7">
        <w:rPr>
          <w:rFonts w:asciiTheme="minorHAnsi" w:hAnsiTheme="minorHAnsi" w:cstheme="minorHAnsi"/>
          <w:shd w:val="clear" w:color="auto" w:fill="FFFFFF"/>
        </w:rPr>
        <w:t>Ragep</w:t>
      </w:r>
      <w:proofErr w:type="spellEnd"/>
      <w:r w:rsidRPr="00382FC7">
        <w:rPr>
          <w:rFonts w:asciiTheme="minorHAnsi" w:hAnsiTheme="minorHAnsi" w:cstheme="minorHAnsi"/>
          <w:shd w:val="clear" w:color="auto" w:fill="FFFFFF"/>
        </w:rPr>
        <w:t xml:space="preserve">, F. Jamil, and </w:t>
      </w:r>
      <w:proofErr w:type="spellStart"/>
      <w:r w:rsidRPr="00382FC7">
        <w:rPr>
          <w:rFonts w:asciiTheme="minorHAnsi" w:hAnsiTheme="minorHAnsi" w:cstheme="minorHAnsi"/>
          <w:shd w:val="clear" w:color="auto" w:fill="FFFFFF"/>
        </w:rPr>
        <w:t>Alī</w:t>
      </w:r>
      <w:proofErr w:type="spellEnd"/>
      <w:r w:rsidRPr="00382FC7">
        <w:rPr>
          <w:rFonts w:asciiTheme="minorHAnsi" w:hAnsiTheme="minorHAnsi" w:cstheme="minorHAnsi"/>
          <w:shd w:val="clear" w:color="auto" w:fill="FFFFFF"/>
        </w:rPr>
        <w:t xml:space="preserve"> Al-</w:t>
      </w:r>
      <w:proofErr w:type="spellStart"/>
      <w:r w:rsidRPr="00382FC7">
        <w:rPr>
          <w:rFonts w:asciiTheme="minorHAnsi" w:hAnsiTheme="minorHAnsi" w:cstheme="minorHAnsi"/>
          <w:shd w:val="clear" w:color="auto" w:fill="FFFFFF"/>
        </w:rPr>
        <w:t>Qūshjī</w:t>
      </w:r>
      <w:proofErr w:type="spellEnd"/>
      <w:r w:rsidRPr="00382FC7">
        <w:rPr>
          <w:rFonts w:asciiTheme="minorHAnsi" w:hAnsiTheme="minorHAnsi" w:cstheme="minorHAnsi"/>
          <w:shd w:val="clear" w:color="auto" w:fill="FFFFFF"/>
        </w:rPr>
        <w:t xml:space="preserve">. "Freeing Astronomy from Philosophy: An Aspect of Islamic Influence on Science." </w:t>
      </w:r>
      <w:r w:rsidRPr="00382FC7">
        <w:rPr>
          <w:rFonts w:asciiTheme="minorHAnsi" w:hAnsiTheme="minorHAnsi" w:cstheme="minorHAnsi"/>
          <w:i/>
          <w:iCs/>
        </w:rPr>
        <w:t>Osiris</w:t>
      </w:r>
      <w:r w:rsidRPr="00382FC7">
        <w:rPr>
          <w:rFonts w:asciiTheme="minorHAnsi" w:hAnsiTheme="minorHAnsi" w:cstheme="minorHAnsi"/>
          <w:shd w:val="clear" w:color="auto" w:fill="FFFFFF"/>
        </w:rPr>
        <w:t xml:space="preserve"> 16 (2001): 49-71. http://www.jstor.org/stable/301979.</w:t>
      </w:r>
    </w:p>
    <w:p w14:paraId="139E883D" w14:textId="77777777" w:rsidR="00F61528" w:rsidRPr="00382FC7" w:rsidRDefault="00F61528" w:rsidP="00F61528">
      <w:pPr>
        <w:pStyle w:val="ListParagraph"/>
        <w:numPr>
          <w:ilvl w:val="0"/>
          <w:numId w:val="31"/>
        </w:numPr>
        <w:rPr>
          <w:rFonts w:asciiTheme="minorHAnsi" w:hAnsiTheme="minorHAnsi" w:cstheme="minorHAnsi"/>
        </w:rPr>
      </w:pPr>
      <w:proofErr w:type="spellStart"/>
      <w:r w:rsidRPr="00382FC7">
        <w:rPr>
          <w:rFonts w:asciiTheme="minorHAnsi" w:hAnsiTheme="minorHAnsi" w:cstheme="minorHAnsi"/>
        </w:rPr>
        <w:t>Veysel</w:t>
      </w:r>
      <w:proofErr w:type="spellEnd"/>
      <w:r w:rsidRPr="00382FC7">
        <w:rPr>
          <w:rFonts w:asciiTheme="minorHAnsi" w:hAnsiTheme="minorHAnsi" w:cstheme="minorHAnsi"/>
        </w:rPr>
        <w:t xml:space="preserve"> Kaya, “Can the Quran Support Darwin? An evolutionist approach by two Turkish scholars after the Foundation of the Turkish Republic,” </w:t>
      </w:r>
      <w:r w:rsidRPr="00382FC7">
        <w:rPr>
          <w:rFonts w:asciiTheme="minorHAnsi" w:hAnsiTheme="minorHAnsi" w:cstheme="minorHAnsi"/>
          <w:i/>
        </w:rPr>
        <w:t xml:space="preserve">The Muslim World, </w:t>
      </w:r>
      <w:r w:rsidRPr="00382FC7">
        <w:rPr>
          <w:rFonts w:asciiTheme="minorHAnsi" w:hAnsiTheme="minorHAnsi" w:cstheme="minorHAnsi"/>
        </w:rPr>
        <w:t>V. 102</w:t>
      </w:r>
      <w:r w:rsidRPr="00382FC7">
        <w:rPr>
          <w:rFonts w:asciiTheme="minorHAnsi" w:hAnsiTheme="minorHAnsi" w:cstheme="minorHAnsi"/>
          <w:i/>
        </w:rPr>
        <w:t xml:space="preserve"> </w:t>
      </w:r>
      <w:r w:rsidRPr="00382FC7">
        <w:rPr>
          <w:rFonts w:asciiTheme="minorHAnsi" w:hAnsiTheme="minorHAnsi" w:cstheme="minorHAnsi"/>
        </w:rPr>
        <w:t xml:space="preserve">(April 2012): 357-370. </w:t>
      </w:r>
    </w:p>
    <w:p w14:paraId="43DD48ED" w14:textId="1F880F26" w:rsidR="00F61528" w:rsidRPr="00382FC7" w:rsidRDefault="00F61528" w:rsidP="00F61528">
      <w:pPr>
        <w:pStyle w:val="ListParagraph"/>
        <w:numPr>
          <w:ilvl w:val="0"/>
          <w:numId w:val="31"/>
        </w:numPr>
        <w:rPr>
          <w:rFonts w:asciiTheme="minorHAnsi" w:hAnsiTheme="minorHAnsi" w:cstheme="minorHAnsi"/>
        </w:rPr>
      </w:pPr>
      <w:proofErr w:type="spellStart"/>
      <w:r w:rsidRPr="00382FC7">
        <w:rPr>
          <w:rFonts w:asciiTheme="minorHAnsi" w:hAnsiTheme="minorHAnsi" w:cstheme="minorHAnsi"/>
        </w:rPr>
        <w:t>Umeyye</w:t>
      </w:r>
      <w:proofErr w:type="spellEnd"/>
      <w:r w:rsidRPr="00382FC7">
        <w:rPr>
          <w:rFonts w:asciiTheme="minorHAnsi" w:hAnsiTheme="minorHAnsi" w:cstheme="minorHAnsi"/>
        </w:rPr>
        <w:t xml:space="preserve"> </w:t>
      </w:r>
      <w:proofErr w:type="spellStart"/>
      <w:r w:rsidRPr="00382FC7">
        <w:rPr>
          <w:rFonts w:asciiTheme="minorHAnsi" w:hAnsiTheme="minorHAnsi" w:cstheme="minorHAnsi"/>
        </w:rPr>
        <w:t>Yaziciouglu</w:t>
      </w:r>
      <w:proofErr w:type="spellEnd"/>
      <w:r w:rsidRPr="00382FC7">
        <w:rPr>
          <w:rFonts w:asciiTheme="minorHAnsi" w:hAnsiTheme="minorHAnsi" w:cstheme="minorHAnsi"/>
        </w:rPr>
        <w:t xml:space="preserve">, “In Defense of a Literal Reading of Miracles: </w:t>
      </w:r>
      <w:proofErr w:type="spellStart"/>
      <w:r w:rsidRPr="00382FC7">
        <w:rPr>
          <w:rFonts w:asciiTheme="minorHAnsi" w:hAnsiTheme="minorHAnsi" w:cstheme="minorHAnsi"/>
        </w:rPr>
        <w:t>Ghazali’s</w:t>
      </w:r>
      <w:proofErr w:type="spellEnd"/>
      <w:r w:rsidRPr="00382FC7">
        <w:rPr>
          <w:rFonts w:asciiTheme="minorHAnsi" w:hAnsiTheme="minorHAnsi" w:cstheme="minorHAnsi"/>
        </w:rPr>
        <w:t xml:space="preserve"> Case for Contingency and Grace,” and “Said </w:t>
      </w:r>
      <w:proofErr w:type="spellStart"/>
      <w:r w:rsidRPr="00382FC7">
        <w:rPr>
          <w:rFonts w:asciiTheme="minorHAnsi" w:hAnsiTheme="minorHAnsi" w:cstheme="minorHAnsi"/>
        </w:rPr>
        <w:t>Nursi’s</w:t>
      </w:r>
      <w:proofErr w:type="spellEnd"/>
      <w:r w:rsidRPr="00382FC7">
        <w:rPr>
          <w:rFonts w:asciiTheme="minorHAnsi" w:hAnsiTheme="minorHAnsi" w:cstheme="minorHAnsi"/>
        </w:rPr>
        <w:t xml:space="preserve"> Contemporary Reading of Qur’anic </w:t>
      </w:r>
      <w:r w:rsidR="0010440F">
        <w:rPr>
          <w:rFonts w:asciiTheme="minorHAnsi" w:hAnsiTheme="minorHAnsi" w:cstheme="minorHAnsi"/>
        </w:rPr>
        <w:t>Miracle Stories,” Chapters 1 or</w:t>
      </w:r>
      <w:r w:rsidRPr="00382FC7">
        <w:rPr>
          <w:rFonts w:asciiTheme="minorHAnsi" w:hAnsiTheme="minorHAnsi" w:cstheme="minorHAnsi"/>
        </w:rPr>
        <w:t xml:space="preserve"> 5 of </w:t>
      </w:r>
      <w:proofErr w:type="spellStart"/>
      <w:r w:rsidRPr="00382FC7">
        <w:rPr>
          <w:rFonts w:asciiTheme="minorHAnsi" w:hAnsiTheme="minorHAnsi" w:cstheme="minorHAnsi"/>
        </w:rPr>
        <w:t>Isra</w:t>
      </w:r>
      <w:proofErr w:type="spellEnd"/>
      <w:r w:rsidRPr="00382FC7">
        <w:rPr>
          <w:rFonts w:asciiTheme="minorHAnsi" w:hAnsiTheme="minorHAnsi" w:cstheme="minorHAnsi"/>
        </w:rPr>
        <w:t xml:space="preserve"> </w:t>
      </w:r>
      <w:proofErr w:type="spellStart"/>
      <w:r w:rsidRPr="00382FC7">
        <w:rPr>
          <w:rFonts w:asciiTheme="minorHAnsi" w:hAnsiTheme="minorHAnsi" w:cstheme="minorHAnsi"/>
        </w:rPr>
        <w:t>Yazicioglu</w:t>
      </w:r>
      <w:proofErr w:type="spellEnd"/>
      <w:r w:rsidRPr="00382FC7">
        <w:rPr>
          <w:rFonts w:asciiTheme="minorHAnsi" w:hAnsiTheme="minorHAnsi" w:cstheme="minorHAnsi"/>
        </w:rPr>
        <w:t xml:space="preserve">, </w:t>
      </w:r>
      <w:r w:rsidRPr="00382FC7">
        <w:rPr>
          <w:rFonts w:asciiTheme="minorHAnsi" w:hAnsiTheme="minorHAnsi" w:cstheme="minorHAnsi"/>
          <w:i/>
          <w:iCs/>
        </w:rPr>
        <w:t xml:space="preserve">Understanding the Qur’anic Miracle Stories in the Modern Age </w:t>
      </w:r>
      <w:r w:rsidRPr="00382FC7">
        <w:rPr>
          <w:rFonts w:asciiTheme="minorHAnsi" w:hAnsiTheme="minorHAnsi" w:cstheme="minorHAnsi"/>
        </w:rPr>
        <w:t xml:space="preserve">(Penn State University, 2013).  </w:t>
      </w:r>
    </w:p>
    <w:p w14:paraId="41550AB5" w14:textId="4671E19E" w:rsidR="003C07A4" w:rsidRPr="00382FC7" w:rsidRDefault="003C07A4" w:rsidP="00073EB8">
      <w:pPr>
        <w:rPr>
          <w:rFonts w:cstheme="minorHAnsi"/>
          <w:b/>
          <w:bCs/>
        </w:rPr>
      </w:pPr>
    </w:p>
    <w:p w14:paraId="64D78BBD" w14:textId="7652260C" w:rsidR="00F61528" w:rsidRPr="00382FC7" w:rsidRDefault="00BE4D11" w:rsidP="00F61528">
      <w:pPr>
        <w:rPr>
          <w:rFonts w:cstheme="minorHAnsi"/>
          <w:b/>
          <w:bCs/>
        </w:rPr>
      </w:pPr>
      <w:r w:rsidRPr="00382FC7">
        <w:rPr>
          <w:rFonts w:cstheme="minorHAnsi"/>
          <w:b/>
          <w:bCs/>
        </w:rPr>
        <w:lastRenderedPageBreak/>
        <w:t>Class Twelve: April 7</w:t>
      </w:r>
      <w:r w:rsidR="00B4313A" w:rsidRPr="00382FC7">
        <w:rPr>
          <w:rFonts w:cstheme="minorHAnsi"/>
          <w:b/>
          <w:bCs/>
        </w:rPr>
        <w:t xml:space="preserve"> </w:t>
      </w:r>
      <w:r w:rsidR="00F61528" w:rsidRPr="00382FC7">
        <w:rPr>
          <w:rFonts w:cstheme="minorHAnsi"/>
          <w:b/>
          <w:bCs/>
        </w:rPr>
        <w:t xml:space="preserve">– </w:t>
      </w:r>
      <w:r w:rsidR="00C12794" w:rsidRPr="00382FC7">
        <w:rPr>
          <w:rFonts w:cstheme="minorHAnsi"/>
          <w:b/>
          <w:bCs/>
        </w:rPr>
        <w:t xml:space="preserve">Animism, </w:t>
      </w:r>
      <w:proofErr w:type="spellStart"/>
      <w:r w:rsidR="00F61528" w:rsidRPr="00382FC7">
        <w:rPr>
          <w:rFonts w:cstheme="minorHAnsi"/>
          <w:b/>
          <w:bCs/>
        </w:rPr>
        <w:t>Extraterrestial</w:t>
      </w:r>
      <w:proofErr w:type="spellEnd"/>
      <w:r w:rsidR="00F61528" w:rsidRPr="00382FC7">
        <w:rPr>
          <w:rFonts w:cstheme="minorHAnsi"/>
          <w:b/>
          <w:bCs/>
        </w:rPr>
        <w:t xml:space="preserve"> Life</w:t>
      </w:r>
      <w:r w:rsidR="00C12794" w:rsidRPr="00382FC7">
        <w:rPr>
          <w:rFonts w:cstheme="minorHAnsi"/>
          <w:b/>
          <w:bCs/>
        </w:rPr>
        <w:t xml:space="preserve"> and Non-Human Rational Beings</w:t>
      </w:r>
    </w:p>
    <w:p w14:paraId="3A5DB24A" w14:textId="4E7E1C7E" w:rsidR="00C812A9" w:rsidRPr="00382FC7" w:rsidRDefault="00C812A9" w:rsidP="00C812A9">
      <w:pPr>
        <w:pStyle w:val="ListParagraph"/>
        <w:numPr>
          <w:ilvl w:val="0"/>
          <w:numId w:val="31"/>
        </w:numPr>
        <w:rPr>
          <w:rFonts w:asciiTheme="minorHAnsi" w:hAnsiTheme="minorHAnsi" w:cstheme="minorHAnsi"/>
        </w:rPr>
      </w:pPr>
      <w:r w:rsidRPr="00382FC7">
        <w:rPr>
          <w:rFonts w:asciiTheme="minorHAnsi" w:hAnsiTheme="minorHAnsi" w:cstheme="minorHAnsi"/>
        </w:rPr>
        <w:t xml:space="preserve">Hamid </w:t>
      </w:r>
      <w:proofErr w:type="spellStart"/>
      <w:r w:rsidRPr="00382FC7">
        <w:rPr>
          <w:rFonts w:asciiTheme="minorHAnsi" w:hAnsiTheme="minorHAnsi" w:cstheme="minorHAnsi"/>
        </w:rPr>
        <w:t>Algar</w:t>
      </w:r>
      <w:proofErr w:type="spellEnd"/>
      <w:r w:rsidRPr="00382FC7">
        <w:rPr>
          <w:rFonts w:asciiTheme="minorHAnsi" w:hAnsiTheme="minorHAnsi" w:cstheme="minorHAnsi"/>
        </w:rPr>
        <w:t>, “</w:t>
      </w:r>
      <w:proofErr w:type="spellStart"/>
      <w:r w:rsidRPr="00382FC7">
        <w:rPr>
          <w:rFonts w:asciiTheme="minorHAnsi" w:hAnsiTheme="minorHAnsi" w:cstheme="minorHAnsi"/>
        </w:rPr>
        <w:t>Eblis</w:t>
      </w:r>
      <w:proofErr w:type="spellEnd"/>
      <w:r w:rsidRPr="00382FC7">
        <w:rPr>
          <w:rFonts w:asciiTheme="minorHAnsi" w:hAnsiTheme="minorHAnsi" w:cstheme="minorHAnsi"/>
        </w:rPr>
        <w:t xml:space="preserve">,” from </w:t>
      </w:r>
      <w:r w:rsidRPr="00382FC7">
        <w:rPr>
          <w:rFonts w:asciiTheme="minorHAnsi" w:hAnsiTheme="minorHAnsi" w:cstheme="minorHAnsi"/>
          <w:i/>
          <w:iCs/>
        </w:rPr>
        <w:t xml:space="preserve">Encyclopaedia </w:t>
      </w:r>
      <w:proofErr w:type="spellStart"/>
      <w:r w:rsidRPr="00382FC7">
        <w:rPr>
          <w:rFonts w:asciiTheme="minorHAnsi" w:hAnsiTheme="minorHAnsi" w:cstheme="minorHAnsi"/>
          <w:i/>
          <w:iCs/>
        </w:rPr>
        <w:t>Iranica</w:t>
      </w:r>
      <w:proofErr w:type="spellEnd"/>
      <w:r w:rsidRPr="00382FC7">
        <w:rPr>
          <w:rFonts w:asciiTheme="minorHAnsi" w:hAnsiTheme="minorHAnsi" w:cstheme="minorHAnsi"/>
          <w:i/>
          <w:iCs/>
        </w:rPr>
        <w:t xml:space="preserve">: </w:t>
      </w:r>
      <w:r w:rsidRPr="00382FC7">
        <w:rPr>
          <w:rFonts w:asciiTheme="minorHAnsi" w:hAnsiTheme="minorHAnsi" w:cstheme="minorHAnsi"/>
        </w:rPr>
        <w:t xml:space="preserve"> </w:t>
      </w:r>
      <w:hyperlink r:id="rId7" w:history="1">
        <w:r w:rsidRPr="00382FC7">
          <w:rPr>
            <w:rStyle w:val="Hyperlink"/>
            <w:rFonts w:asciiTheme="minorHAnsi" w:hAnsiTheme="minorHAnsi" w:cstheme="minorHAnsi"/>
          </w:rPr>
          <w:t xml:space="preserve">EBLĪS – Encyclopaedia </w:t>
        </w:r>
        <w:proofErr w:type="spellStart"/>
        <w:r w:rsidRPr="00382FC7">
          <w:rPr>
            <w:rStyle w:val="Hyperlink"/>
            <w:rFonts w:asciiTheme="minorHAnsi" w:hAnsiTheme="minorHAnsi" w:cstheme="minorHAnsi"/>
          </w:rPr>
          <w:t>Iranica</w:t>
        </w:r>
        <w:proofErr w:type="spellEnd"/>
        <w:r w:rsidRPr="00382FC7">
          <w:rPr>
            <w:rStyle w:val="Hyperlink"/>
            <w:rFonts w:asciiTheme="minorHAnsi" w:hAnsiTheme="minorHAnsi" w:cstheme="minorHAnsi"/>
          </w:rPr>
          <w:t xml:space="preserve"> (iranicaonline.org)</w:t>
        </w:r>
      </w:hyperlink>
    </w:p>
    <w:p w14:paraId="4931B9D2" w14:textId="77777777" w:rsidR="00C812A9" w:rsidRPr="00382FC7" w:rsidRDefault="00C812A9" w:rsidP="00C812A9">
      <w:pPr>
        <w:pStyle w:val="ListParagraph"/>
        <w:numPr>
          <w:ilvl w:val="0"/>
          <w:numId w:val="31"/>
        </w:numPr>
        <w:rPr>
          <w:rFonts w:asciiTheme="minorHAnsi" w:hAnsiTheme="minorHAnsi" w:cstheme="minorHAnsi"/>
        </w:rPr>
      </w:pPr>
      <w:proofErr w:type="spellStart"/>
      <w:r w:rsidRPr="00382FC7">
        <w:rPr>
          <w:rFonts w:asciiTheme="minorHAnsi" w:hAnsiTheme="minorHAnsi" w:cstheme="minorHAnsi"/>
        </w:rPr>
        <w:t>Sarra</w:t>
      </w:r>
      <w:proofErr w:type="spellEnd"/>
      <w:r w:rsidRPr="00382FC7">
        <w:rPr>
          <w:rFonts w:asciiTheme="minorHAnsi" w:hAnsiTheme="minorHAnsi" w:cstheme="minorHAnsi"/>
        </w:rPr>
        <w:t xml:space="preserve"> </w:t>
      </w:r>
      <w:proofErr w:type="spellStart"/>
      <w:r w:rsidRPr="00382FC7">
        <w:rPr>
          <w:rFonts w:asciiTheme="minorHAnsi" w:hAnsiTheme="minorHAnsi" w:cstheme="minorHAnsi"/>
        </w:rPr>
        <w:t>Tlili</w:t>
      </w:r>
      <w:proofErr w:type="spellEnd"/>
      <w:r w:rsidRPr="00382FC7">
        <w:rPr>
          <w:rFonts w:asciiTheme="minorHAnsi" w:hAnsiTheme="minorHAnsi" w:cstheme="minorHAnsi"/>
        </w:rPr>
        <w:t>, “The Meaning of the Qur’anic Word ‘</w:t>
      </w:r>
      <w:proofErr w:type="spellStart"/>
      <w:r w:rsidRPr="00382FC7">
        <w:rPr>
          <w:rFonts w:asciiTheme="minorHAnsi" w:hAnsiTheme="minorHAnsi" w:cstheme="minorHAnsi"/>
          <w:i/>
        </w:rPr>
        <w:t>dābba</w:t>
      </w:r>
      <w:proofErr w:type="spellEnd"/>
      <w:r w:rsidRPr="00382FC7">
        <w:rPr>
          <w:rFonts w:asciiTheme="minorHAnsi" w:hAnsiTheme="minorHAnsi" w:cstheme="minorHAnsi"/>
          <w:i/>
        </w:rPr>
        <w:t>’</w:t>
      </w:r>
      <w:r w:rsidRPr="00382FC7">
        <w:rPr>
          <w:rFonts w:asciiTheme="minorHAnsi" w:hAnsiTheme="minorHAnsi" w:cstheme="minorHAnsi"/>
        </w:rPr>
        <w:t xml:space="preserve">: ‘Animals’ or ‘Nonhuman Animals’?” </w:t>
      </w:r>
      <w:r w:rsidRPr="00382FC7">
        <w:rPr>
          <w:rFonts w:asciiTheme="minorHAnsi" w:hAnsiTheme="minorHAnsi" w:cstheme="minorHAnsi"/>
          <w:i/>
        </w:rPr>
        <w:t xml:space="preserve">Journal of Qur’anic Studies </w:t>
      </w:r>
      <w:r w:rsidRPr="00382FC7">
        <w:rPr>
          <w:rFonts w:asciiTheme="minorHAnsi" w:hAnsiTheme="minorHAnsi" w:cstheme="minorHAnsi"/>
        </w:rPr>
        <w:t>12 (2010): 167-87.</w:t>
      </w:r>
    </w:p>
    <w:p w14:paraId="5717DACC" w14:textId="2AD9048A" w:rsidR="00C812A9" w:rsidRPr="00382FC7" w:rsidRDefault="00C812A9" w:rsidP="00C812A9">
      <w:pPr>
        <w:pStyle w:val="ListParagraph"/>
        <w:numPr>
          <w:ilvl w:val="0"/>
          <w:numId w:val="31"/>
        </w:numPr>
        <w:rPr>
          <w:rFonts w:asciiTheme="minorHAnsi" w:hAnsiTheme="minorHAnsi" w:cstheme="minorHAnsi"/>
        </w:rPr>
      </w:pPr>
      <w:r w:rsidRPr="00382FC7">
        <w:rPr>
          <w:rFonts w:asciiTheme="minorHAnsi" w:hAnsiTheme="minorHAnsi" w:cstheme="minorHAnsi"/>
        </w:rPr>
        <w:t xml:space="preserve">Ingrid Mattson, “Rethinking Islam and Animism: Connecting with the Community of Created Beings,” in edited volume to be published by Mohr </w:t>
      </w:r>
      <w:proofErr w:type="spellStart"/>
      <w:r w:rsidRPr="00382FC7">
        <w:rPr>
          <w:rFonts w:asciiTheme="minorHAnsi" w:hAnsiTheme="minorHAnsi" w:cstheme="minorHAnsi"/>
        </w:rPr>
        <w:t>Siebeck</w:t>
      </w:r>
      <w:proofErr w:type="spellEnd"/>
      <w:r w:rsidRPr="00382FC7">
        <w:rPr>
          <w:rFonts w:asciiTheme="minorHAnsi" w:hAnsiTheme="minorHAnsi" w:cstheme="minorHAnsi"/>
        </w:rPr>
        <w:t xml:space="preserve"> in 2022. </w:t>
      </w:r>
    </w:p>
    <w:p w14:paraId="3C18B2EB" w14:textId="77777777" w:rsidR="00F61528" w:rsidRPr="00382FC7" w:rsidRDefault="00F61528" w:rsidP="00F61528">
      <w:pPr>
        <w:pStyle w:val="ListParagraph"/>
        <w:numPr>
          <w:ilvl w:val="0"/>
          <w:numId w:val="31"/>
        </w:numPr>
        <w:rPr>
          <w:rFonts w:asciiTheme="minorHAnsi" w:hAnsiTheme="minorHAnsi" w:cstheme="minorHAnsi"/>
        </w:rPr>
      </w:pPr>
      <w:proofErr w:type="spellStart"/>
      <w:r w:rsidRPr="00382FC7">
        <w:rPr>
          <w:rFonts w:asciiTheme="minorHAnsi" w:hAnsiTheme="minorHAnsi" w:cstheme="minorHAnsi"/>
        </w:rPr>
        <w:t>Mimouni</w:t>
      </w:r>
      <w:proofErr w:type="spellEnd"/>
      <w:r w:rsidRPr="00382FC7">
        <w:rPr>
          <w:rFonts w:asciiTheme="minorHAnsi" w:hAnsiTheme="minorHAnsi" w:cstheme="minorHAnsi"/>
        </w:rPr>
        <w:t xml:space="preserve">, Jamal and </w:t>
      </w:r>
      <w:proofErr w:type="spellStart"/>
      <w:r w:rsidRPr="00382FC7">
        <w:rPr>
          <w:rFonts w:asciiTheme="minorHAnsi" w:hAnsiTheme="minorHAnsi" w:cstheme="minorHAnsi"/>
        </w:rPr>
        <w:t>Nidhal</w:t>
      </w:r>
      <w:proofErr w:type="spellEnd"/>
      <w:r w:rsidRPr="00382FC7">
        <w:rPr>
          <w:rFonts w:asciiTheme="minorHAnsi" w:hAnsiTheme="minorHAnsi" w:cstheme="minorHAnsi"/>
        </w:rPr>
        <w:t xml:space="preserve"> </w:t>
      </w:r>
      <w:proofErr w:type="spellStart"/>
      <w:r w:rsidRPr="00382FC7">
        <w:rPr>
          <w:rFonts w:asciiTheme="minorHAnsi" w:hAnsiTheme="minorHAnsi" w:cstheme="minorHAnsi"/>
        </w:rPr>
        <w:t>Guessoum</w:t>
      </w:r>
      <w:proofErr w:type="spellEnd"/>
      <w:r w:rsidRPr="00382FC7">
        <w:rPr>
          <w:rFonts w:asciiTheme="minorHAnsi" w:hAnsiTheme="minorHAnsi" w:cstheme="minorHAnsi"/>
        </w:rPr>
        <w:t xml:space="preserve">. “Islam and </w:t>
      </w:r>
      <w:proofErr w:type="spellStart"/>
      <w:r w:rsidRPr="00382FC7">
        <w:rPr>
          <w:rFonts w:asciiTheme="minorHAnsi" w:hAnsiTheme="minorHAnsi" w:cstheme="minorHAnsi"/>
        </w:rPr>
        <w:t>Extraterrestial</w:t>
      </w:r>
      <w:proofErr w:type="spellEnd"/>
      <w:r w:rsidRPr="00382FC7">
        <w:rPr>
          <w:rFonts w:asciiTheme="minorHAnsi" w:hAnsiTheme="minorHAnsi" w:cstheme="minorHAnsi"/>
        </w:rPr>
        <w:t xml:space="preserve"> Life,” from the website Islam &amp; Science: An Educational Approach. </w:t>
      </w:r>
      <w:hyperlink r:id="rId8" w:history="1">
        <w:r w:rsidRPr="00382FC7">
          <w:rPr>
            <w:rStyle w:val="Hyperlink"/>
            <w:rFonts w:asciiTheme="minorHAnsi" w:hAnsiTheme="minorHAnsi" w:cstheme="minorHAnsi"/>
          </w:rPr>
          <w:t>https://islam-science.net/islam-and-extraterrestrial-life-2908/</w:t>
        </w:r>
      </w:hyperlink>
      <w:r w:rsidRPr="00382FC7">
        <w:rPr>
          <w:rFonts w:asciiTheme="minorHAnsi" w:hAnsiTheme="minorHAnsi" w:cstheme="minorHAnsi"/>
        </w:rPr>
        <w:t xml:space="preserve"> </w:t>
      </w:r>
    </w:p>
    <w:p w14:paraId="12DD27FC" w14:textId="19C9914A" w:rsidR="00B4313A" w:rsidRPr="00382FC7" w:rsidRDefault="00B4313A" w:rsidP="00F61528">
      <w:pPr>
        <w:rPr>
          <w:rFonts w:cstheme="minorHAnsi"/>
          <w:b/>
          <w:bCs/>
        </w:rPr>
      </w:pPr>
    </w:p>
    <w:p w14:paraId="0464A04D" w14:textId="49F46CD4" w:rsidR="006F14C4" w:rsidRPr="00382FC7" w:rsidRDefault="00F61528">
      <w:pPr>
        <w:rPr>
          <w:rFonts w:cstheme="minorHAnsi"/>
          <w:b/>
          <w:bCs/>
        </w:rPr>
      </w:pPr>
      <w:r w:rsidRPr="00382FC7">
        <w:rPr>
          <w:rFonts w:cstheme="minorHAnsi"/>
          <w:b/>
          <w:bCs/>
        </w:rPr>
        <w:t>April 14 – Final paper due</w:t>
      </w:r>
      <w:r w:rsidR="006F14C4" w:rsidRPr="00382FC7">
        <w:rPr>
          <w:rFonts w:cstheme="minorHAnsi"/>
          <w:b/>
          <w:bCs/>
        </w:rPr>
        <w:br w:type="page"/>
      </w:r>
    </w:p>
    <w:p w14:paraId="27A89FA0" w14:textId="2FB93F89" w:rsidR="00AE55A7" w:rsidRPr="00382FC7" w:rsidRDefault="00AE55A7" w:rsidP="00073EB8">
      <w:pPr>
        <w:ind w:left="720" w:hanging="720"/>
        <w:rPr>
          <w:rFonts w:cstheme="minorHAnsi"/>
        </w:rPr>
      </w:pPr>
    </w:p>
    <w:p w14:paraId="26F08E3C" w14:textId="77777777" w:rsidR="00D15B84" w:rsidRPr="00382FC7" w:rsidRDefault="00D15B84" w:rsidP="00073EB8">
      <w:pPr>
        <w:rPr>
          <w:rFonts w:cstheme="minorHAnsi"/>
          <w:b/>
          <w:bCs/>
        </w:rPr>
      </w:pPr>
      <w:r w:rsidRPr="00382FC7">
        <w:rPr>
          <w:rFonts w:cstheme="minorHAnsi"/>
          <w:b/>
          <w:bCs/>
        </w:rPr>
        <w:t>Your book report must include:</w:t>
      </w:r>
    </w:p>
    <w:p w14:paraId="758D5C1A" w14:textId="77777777" w:rsidR="00D15B84" w:rsidRPr="00382FC7" w:rsidRDefault="00D15B84" w:rsidP="00073EB8">
      <w:pPr>
        <w:pStyle w:val="ListParagraph"/>
        <w:numPr>
          <w:ilvl w:val="0"/>
          <w:numId w:val="24"/>
        </w:numPr>
        <w:rPr>
          <w:rFonts w:asciiTheme="minorHAnsi" w:hAnsiTheme="minorHAnsi" w:cstheme="minorHAnsi"/>
        </w:rPr>
      </w:pPr>
      <w:r w:rsidRPr="00382FC7">
        <w:rPr>
          <w:rFonts w:asciiTheme="minorHAnsi" w:hAnsiTheme="minorHAnsi" w:cstheme="minorHAnsi"/>
        </w:rPr>
        <w:t>Your name</w:t>
      </w:r>
    </w:p>
    <w:p w14:paraId="4B133626" w14:textId="77777777" w:rsidR="00D15B84" w:rsidRPr="00382FC7" w:rsidRDefault="00D15B84" w:rsidP="00073EB8">
      <w:pPr>
        <w:pStyle w:val="ListParagraph"/>
        <w:numPr>
          <w:ilvl w:val="0"/>
          <w:numId w:val="24"/>
        </w:numPr>
        <w:rPr>
          <w:rFonts w:asciiTheme="minorHAnsi" w:hAnsiTheme="minorHAnsi" w:cstheme="minorHAnsi"/>
        </w:rPr>
      </w:pPr>
      <w:r w:rsidRPr="00382FC7">
        <w:rPr>
          <w:rFonts w:asciiTheme="minorHAnsi" w:hAnsiTheme="minorHAnsi" w:cstheme="minorHAnsi"/>
        </w:rPr>
        <w:t>Title, author, date and other bibliographic information about the book</w:t>
      </w:r>
    </w:p>
    <w:p w14:paraId="3B112E71" w14:textId="77777777" w:rsidR="00D15B84" w:rsidRPr="00382FC7" w:rsidRDefault="00D15B84" w:rsidP="00073EB8">
      <w:pPr>
        <w:pStyle w:val="ListParagraph"/>
        <w:numPr>
          <w:ilvl w:val="0"/>
          <w:numId w:val="24"/>
        </w:numPr>
        <w:rPr>
          <w:rFonts w:asciiTheme="minorHAnsi" w:hAnsiTheme="minorHAnsi" w:cstheme="minorHAnsi"/>
        </w:rPr>
      </w:pPr>
      <w:r w:rsidRPr="00382FC7">
        <w:rPr>
          <w:rFonts w:asciiTheme="minorHAnsi" w:hAnsiTheme="minorHAnsi" w:cstheme="minorHAnsi"/>
        </w:rPr>
        <w:t>Relevant information about the author</w:t>
      </w:r>
    </w:p>
    <w:p w14:paraId="1D2F6857" w14:textId="77777777" w:rsidR="00D15B84" w:rsidRPr="00382FC7" w:rsidRDefault="00D15B84" w:rsidP="00073EB8">
      <w:pPr>
        <w:pStyle w:val="ListParagraph"/>
        <w:numPr>
          <w:ilvl w:val="0"/>
          <w:numId w:val="24"/>
        </w:numPr>
        <w:rPr>
          <w:rFonts w:asciiTheme="minorHAnsi" w:hAnsiTheme="minorHAnsi" w:cstheme="minorHAnsi"/>
        </w:rPr>
      </w:pPr>
      <w:r w:rsidRPr="00382FC7">
        <w:rPr>
          <w:rFonts w:asciiTheme="minorHAnsi" w:hAnsiTheme="minorHAnsi" w:cstheme="minorHAnsi"/>
        </w:rPr>
        <w:t>Summary sentence about the contents of the book</w:t>
      </w:r>
    </w:p>
    <w:p w14:paraId="3EC2896D" w14:textId="77777777" w:rsidR="00D15B84" w:rsidRPr="00382FC7" w:rsidRDefault="00D15B84" w:rsidP="00073EB8">
      <w:pPr>
        <w:pStyle w:val="ListParagraph"/>
        <w:numPr>
          <w:ilvl w:val="0"/>
          <w:numId w:val="24"/>
        </w:numPr>
        <w:rPr>
          <w:rFonts w:asciiTheme="minorHAnsi" w:hAnsiTheme="minorHAnsi" w:cstheme="minorHAnsi"/>
        </w:rPr>
      </w:pPr>
      <w:r w:rsidRPr="00382FC7">
        <w:rPr>
          <w:rFonts w:asciiTheme="minorHAnsi" w:hAnsiTheme="minorHAnsi" w:cstheme="minorHAnsi"/>
        </w:rPr>
        <w:t>A presentation of the contents of the book; include illustrative excerpts of the book as appropriate</w:t>
      </w:r>
    </w:p>
    <w:p w14:paraId="481F00CD" w14:textId="77777777" w:rsidR="00D15B84" w:rsidRPr="00382FC7" w:rsidRDefault="00D15B84" w:rsidP="00073EB8">
      <w:pPr>
        <w:pStyle w:val="ListParagraph"/>
        <w:numPr>
          <w:ilvl w:val="0"/>
          <w:numId w:val="24"/>
        </w:numPr>
        <w:rPr>
          <w:rFonts w:asciiTheme="minorHAnsi" w:hAnsiTheme="minorHAnsi" w:cstheme="minorHAnsi"/>
        </w:rPr>
      </w:pPr>
      <w:r w:rsidRPr="00382FC7">
        <w:rPr>
          <w:rFonts w:asciiTheme="minorHAnsi" w:hAnsiTheme="minorHAnsi" w:cstheme="minorHAnsi"/>
        </w:rPr>
        <w:t>A short critical analysis of the book, to the extent that you are able</w:t>
      </w:r>
    </w:p>
    <w:p w14:paraId="686E8905" w14:textId="77777777" w:rsidR="00D15B84" w:rsidRPr="00382FC7" w:rsidRDefault="00D15B84" w:rsidP="00073EB8">
      <w:pPr>
        <w:pStyle w:val="ListParagraph"/>
        <w:numPr>
          <w:ilvl w:val="0"/>
          <w:numId w:val="24"/>
        </w:numPr>
        <w:rPr>
          <w:rFonts w:asciiTheme="minorHAnsi" w:hAnsiTheme="minorHAnsi" w:cstheme="minorHAnsi"/>
        </w:rPr>
      </w:pPr>
      <w:r w:rsidRPr="00382FC7">
        <w:rPr>
          <w:rFonts w:asciiTheme="minorHAnsi" w:hAnsiTheme="minorHAnsi" w:cstheme="minorHAnsi"/>
        </w:rPr>
        <w:t>How this book relates to topics or themes discussed in our class</w:t>
      </w:r>
    </w:p>
    <w:p w14:paraId="738B68C5" w14:textId="77777777" w:rsidR="00D15B84" w:rsidRPr="00382FC7" w:rsidRDefault="00D15B84" w:rsidP="00073EB8">
      <w:pPr>
        <w:pStyle w:val="ListParagraph"/>
        <w:numPr>
          <w:ilvl w:val="0"/>
          <w:numId w:val="24"/>
        </w:numPr>
        <w:rPr>
          <w:rFonts w:asciiTheme="minorHAnsi" w:hAnsiTheme="minorHAnsi" w:cstheme="minorHAnsi"/>
        </w:rPr>
      </w:pPr>
      <w:r w:rsidRPr="00382FC7">
        <w:rPr>
          <w:rFonts w:asciiTheme="minorHAnsi" w:hAnsiTheme="minorHAnsi" w:cstheme="minorHAnsi"/>
        </w:rPr>
        <w:t>The impact of the book and its reception among readers, if you are able to find that information</w:t>
      </w:r>
    </w:p>
    <w:p w14:paraId="463F333E" w14:textId="77777777" w:rsidR="00D15B84" w:rsidRPr="00382FC7" w:rsidRDefault="00D15B84" w:rsidP="00073EB8">
      <w:pPr>
        <w:pStyle w:val="ListParagraph"/>
        <w:numPr>
          <w:ilvl w:val="0"/>
          <w:numId w:val="24"/>
        </w:numPr>
        <w:rPr>
          <w:rFonts w:asciiTheme="minorHAnsi" w:hAnsiTheme="minorHAnsi" w:cstheme="minorHAnsi"/>
        </w:rPr>
      </w:pPr>
      <w:r w:rsidRPr="00382FC7">
        <w:rPr>
          <w:rFonts w:asciiTheme="minorHAnsi" w:hAnsiTheme="minorHAnsi" w:cstheme="minorHAnsi"/>
        </w:rPr>
        <w:t>Whether you would recommend this book to others and why or why not</w:t>
      </w:r>
    </w:p>
    <w:p w14:paraId="180558B6" w14:textId="20290035" w:rsidR="007563B5" w:rsidRPr="00382FC7" w:rsidRDefault="007563B5" w:rsidP="00073EB8">
      <w:pPr>
        <w:rPr>
          <w:rFonts w:cstheme="minorHAnsi"/>
        </w:rPr>
      </w:pPr>
    </w:p>
    <w:p w14:paraId="3A23D28E" w14:textId="77777777" w:rsidR="007563B5" w:rsidRPr="00382FC7" w:rsidRDefault="007563B5" w:rsidP="00073EB8">
      <w:pPr>
        <w:rPr>
          <w:rFonts w:cstheme="minorHAnsi"/>
          <w:b/>
          <w:bCs/>
        </w:rPr>
      </w:pPr>
      <w:r w:rsidRPr="00382FC7">
        <w:rPr>
          <w:rFonts w:cstheme="minorHAnsi"/>
          <w:b/>
          <w:bCs/>
        </w:rPr>
        <w:t>Essay Format:</w:t>
      </w:r>
    </w:p>
    <w:p w14:paraId="0B51673C" w14:textId="11934812" w:rsidR="007563B5" w:rsidRPr="00382FC7" w:rsidRDefault="007563B5" w:rsidP="00073EB8">
      <w:pPr>
        <w:pStyle w:val="ListParagraph"/>
        <w:numPr>
          <w:ilvl w:val="0"/>
          <w:numId w:val="23"/>
        </w:numPr>
        <w:rPr>
          <w:rFonts w:asciiTheme="minorHAnsi" w:hAnsiTheme="minorHAnsi" w:cstheme="minorHAnsi"/>
          <w:b/>
          <w:bCs/>
        </w:rPr>
      </w:pPr>
      <w:r w:rsidRPr="00382FC7">
        <w:rPr>
          <w:rFonts w:asciiTheme="minorHAnsi" w:hAnsiTheme="minorHAnsi" w:cstheme="minorHAnsi"/>
        </w:rPr>
        <w:t>3000-5000 words</w:t>
      </w:r>
    </w:p>
    <w:p w14:paraId="4CF20D83" w14:textId="6822940B" w:rsidR="007563B5" w:rsidRPr="00382FC7" w:rsidRDefault="00B81E8F" w:rsidP="00073EB8">
      <w:pPr>
        <w:pStyle w:val="ListParagraph"/>
        <w:numPr>
          <w:ilvl w:val="0"/>
          <w:numId w:val="23"/>
        </w:numPr>
        <w:rPr>
          <w:rFonts w:asciiTheme="minorHAnsi" w:hAnsiTheme="minorHAnsi" w:cstheme="minorHAnsi"/>
          <w:b/>
          <w:bCs/>
        </w:rPr>
      </w:pPr>
      <w:r w:rsidRPr="00382FC7">
        <w:rPr>
          <w:rFonts w:asciiTheme="minorHAnsi" w:hAnsiTheme="minorHAnsi" w:cstheme="minorHAnsi"/>
        </w:rPr>
        <w:t>12-point</w:t>
      </w:r>
      <w:r w:rsidR="007563B5" w:rsidRPr="00382FC7">
        <w:rPr>
          <w:rFonts w:asciiTheme="minorHAnsi" w:hAnsiTheme="minorHAnsi" w:cstheme="minorHAnsi"/>
        </w:rPr>
        <w:t xml:space="preserve"> font; standard margins; 1.5 space</w:t>
      </w:r>
    </w:p>
    <w:p w14:paraId="7CFD3493" w14:textId="77777777" w:rsidR="007563B5" w:rsidRPr="00382FC7" w:rsidRDefault="007563B5" w:rsidP="00073EB8">
      <w:pPr>
        <w:pStyle w:val="ListParagraph"/>
        <w:numPr>
          <w:ilvl w:val="0"/>
          <w:numId w:val="23"/>
        </w:numPr>
        <w:rPr>
          <w:rFonts w:asciiTheme="minorHAnsi" w:hAnsiTheme="minorHAnsi" w:cstheme="minorHAnsi"/>
          <w:b/>
          <w:bCs/>
        </w:rPr>
      </w:pPr>
      <w:r w:rsidRPr="00382FC7">
        <w:rPr>
          <w:rFonts w:asciiTheme="minorHAnsi" w:hAnsiTheme="minorHAnsi" w:cstheme="minorHAnsi"/>
        </w:rPr>
        <w:t>Title page</w:t>
      </w:r>
    </w:p>
    <w:p w14:paraId="18D6F160" w14:textId="77777777" w:rsidR="007563B5" w:rsidRPr="00382FC7" w:rsidRDefault="007563B5" w:rsidP="00073EB8">
      <w:pPr>
        <w:pStyle w:val="ListParagraph"/>
        <w:numPr>
          <w:ilvl w:val="0"/>
          <w:numId w:val="23"/>
        </w:numPr>
        <w:rPr>
          <w:rFonts w:asciiTheme="minorHAnsi" w:hAnsiTheme="minorHAnsi" w:cstheme="minorHAnsi"/>
          <w:b/>
          <w:bCs/>
        </w:rPr>
      </w:pPr>
      <w:r w:rsidRPr="00382FC7">
        <w:rPr>
          <w:rFonts w:asciiTheme="minorHAnsi" w:hAnsiTheme="minorHAnsi" w:cstheme="minorHAnsi"/>
        </w:rPr>
        <w:t>No plastic cover</w:t>
      </w:r>
    </w:p>
    <w:p w14:paraId="08F6C107" w14:textId="77777777" w:rsidR="007563B5" w:rsidRPr="00382FC7" w:rsidRDefault="007563B5" w:rsidP="00073EB8">
      <w:pPr>
        <w:pStyle w:val="ListParagraph"/>
        <w:numPr>
          <w:ilvl w:val="0"/>
          <w:numId w:val="23"/>
        </w:numPr>
        <w:rPr>
          <w:rFonts w:asciiTheme="minorHAnsi" w:hAnsiTheme="minorHAnsi" w:cstheme="minorHAnsi"/>
          <w:b/>
          <w:bCs/>
        </w:rPr>
      </w:pPr>
      <w:r w:rsidRPr="00382FC7">
        <w:rPr>
          <w:rFonts w:asciiTheme="minorHAnsi" w:hAnsiTheme="minorHAnsi" w:cstheme="minorHAnsi"/>
        </w:rPr>
        <w:t>Footnotes and bibliography (Chicago style preferred but other academic reference styles are acceptable)</w:t>
      </w:r>
    </w:p>
    <w:p w14:paraId="7D57D227" w14:textId="77777777" w:rsidR="007563B5" w:rsidRPr="00382FC7" w:rsidRDefault="007563B5" w:rsidP="00073EB8">
      <w:pPr>
        <w:pStyle w:val="ListParagraph"/>
        <w:numPr>
          <w:ilvl w:val="0"/>
          <w:numId w:val="23"/>
        </w:numPr>
        <w:rPr>
          <w:rFonts w:asciiTheme="minorHAnsi" w:hAnsiTheme="minorHAnsi" w:cstheme="minorHAnsi"/>
          <w:b/>
          <w:bCs/>
        </w:rPr>
      </w:pPr>
      <w:r w:rsidRPr="00382FC7">
        <w:rPr>
          <w:rFonts w:asciiTheme="minorHAnsi" w:hAnsiTheme="minorHAnsi" w:cstheme="minorHAnsi"/>
        </w:rPr>
        <w:t>You must run a spell and grammar check before submitting the paper</w:t>
      </w:r>
    </w:p>
    <w:p w14:paraId="2D260D3E" w14:textId="77777777" w:rsidR="007563B5" w:rsidRPr="00382FC7" w:rsidRDefault="007563B5" w:rsidP="00073EB8">
      <w:pPr>
        <w:pStyle w:val="ListParagraph"/>
        <w:numPr>
          <w:ilvl w:val="0"/>
          <w:numId w:val="23"/>
        </w:numPr>
        <w:rPr>
          <w:rFonts w:asciiTheme="minorHAnsi" w:hAnsiTheme="minorHAnsi" w:cstheme="minorHAnsi"/>
          <w:b/>
          <w:bCs/>
        </w:rPr>
      </w:pPr>
      <w:r w:rsidRPr="00382FC7">
        <w:rPr>
          <w:rFonts w:asciiTheme="minorHAnsi" w:hAnsiTheme="minorHAnsi" w:cstheme="minorHAnsi"/>
        </w:rPr>
        <w:t xml:space="preserve"> Standard Arabic transliteration according to these guidelines: </w:t>
      </w:r>
      <w:hyperlink r:id="rId9" w:history="1">
        <w:r w:rsidRPr="00382FC7">
          <w:rPr>
            <w:rStyle w:val="Hyperlink"/>
            <w:rFonts w:asciiTheme="minorHAnsi" w:hAnsiTheme="minorHAnsi" w:cstheme="minorHAnsi"/>
            <w:color w:val="auto"/>
          </w:rPr>
          <w:t>http://web.gc.cuny.edu/ijmes/pages/transliteration.html</w:t>
        </w:r>
      </w:hyperlink>
      <w:r w:rsidRPr="00382FC7">
        <w:rPr>
          <w:rFonts w:asciiTheme="minorHAnsi" w:hAnsiTheme="minorHAnsi" w:cstheme="minorHAnsi"/>
        </w:rPr>
        <w:t xml:space="preserve">; diacritics are optional. </w:t>
      </w:r>
    </w:p>
    <w:p w14:paraId="27D6CCBB" w14:textId="77777777" w:rsidR="007563B5" w:rsidRPr="00382FC7" w:rsidRDefault="007563B5" w:rsidP="00073EB8">
      <w:pPr>
        <w:ind w:firstLine="360"/>
        <w:rPr>
          <w:rFonts w:cstheme="minorHAnsi"/>
          <w:b/>
          <w:bCs/>
        </w:rPr>
      </w:pPr>
    </w:p>
    <w:p w14:paraId="119EEDC4" w14:textId="5610B03A" w:rsidR="00D15B84" w:rsidRPr="00382FC7" w:rsidRDefault="00D15B84" w:rsidP="0010440F">
      <w:pPr>
        <w:rPr>
          <w:rFonts w:cstheme="minorHAnsi"/>
          <w:b/>
        </w:rPr>
      </w:pPr>
      <w:r w:rsidRPr="00382FC7">
        <w:rPr>
          <w:rFonts w:cstheme="minorHAnsi"/>
          <w:b/>
        </w:rPr>
        <w:t>WRITING GUIDELINES</w:t>
      </w:r>
    </w:p>
    <w:p w14:paraId="616C10C3" w14:textId="77777777" w:rsidR="00D15B84" w:rsidRPr="00382FC7" w:rsidRDefault="00D15B84" w:rsidP="00073EB8">
      <w:pPr>
        <w:rPr>
          <w:rFonts w:cstheme="minorHAnsi"/>
        </w:rPr>
      </w:pPr>
    </w:p>
    <w:p w14:paraId="09CC0201" w14:textId="77777777" w:rsidR="00D15B84" w:rsidRPr="00382FC7" w:rsidRDefault="00D15B84" w:rsidP="00073EB8">
      <w:pPr>
        <w:rPr>
          <w:rFonts w:cstheme="minorHAnsi"/>
          <w:b/>
        </w:rPr>
      </w:pPr>
      <w:r w:rsidRPr="00382FC7">
        <w:rPr>
          <w:rFonts w:cstheme="minorHAnsi"/>
          <w:b/>
        </w:rPr>
        <w:t>Violation of these guidelines can result in your paper being returned for rewriting or a failing grade.</w:t>
      </w:r>
    </w:p>
    <w:p w14:paraId="727588D2" w14:textId="77777777" w:rsidR="00D15B84" w:rsidRPr="00382FC7" w:rsidRDefault="00D15B84" w:rsidP="00073EB8">
      <w:pPr>
        <w:rPr>
          <w:rFonts w:cstheme="minorHAnsi"/>
          <w:b/>
        </w:rPr>
      </w:pPr>
    </w:p>
    <w:p w14:paraId="220EE3CA" w14:textId="77777777" w:rsidR="00D15B84" w:rsidRPr="00382FC7" w:rsidRDefault="00D15B84" w:rsidP="00073EB8">
      <w:pPr>
        <w:rPr>
          <w:rFonts w:cstheme="minorHAnsi"/>
          <w:b/>
        </w:rPr>
      </w:pPr>
      <w:r w:rsidRPr="00382FC7">
        <w:rPr>
          <w:rFonts w:cstheme="minorHAnsi"/>
          <w:b/>
        </w:rPr>
        <w:t xml:space="preserve">If, after having read all the guidelines, you are unsure of your ability to write academic papers, consult the writing tutor </w:t>
      </w:r>
      <w:r w:rsidRPr="00382FC7">
        <w:rPr>
          <w:rFonts w:cstheme="minorHAnsi"/>
          <w:b/>
          <w:u w:val="single"/>
        </w:rPr>
        <w:t>before you begin to write</w:t>
      </w:r>
      <w:r w:rsidRPr="00382FC7">
        <w:rPr>
          <w:rFonts w:cstheme="minorHAnsi"/>
          <w:b/>
        </w:rPr>
        <w:t xml:space="preserve">.  </w:t>
      </w:r>
    </w:p>
    <w:p w14:paraId="30458DD5" w14:textId="77777777" w:rsidR="00D15B84" w:rsidRPr="00382FC7" w:rsidRDefault="00D15B84" w:rsidP="00073EB8">
      <w:pPr>
        <w:rPr>
          <w:rFonts w:cstheme="minorHAnsi"/>
          <w:b/>
        </w:rPr>
      </w:pPr>
    </w:p>
    <w:p w14:paraId="775EE8DC" w14:textId="77777777" w:rsidR="00D15B84" w:rsidRPr="00382FC7" w:rsidRDefault="00D15B84" w:rsidP="00073EB8">
      <w:pPr>
        <w:rPr>
          <w:rFonts w:cstheme="minorHAnsi"/>
          <w:b/>
        </w:rPr>
      </w:pPr>
    </w:p>
    <w:p w14:paraId="0F1840E0" w14:textId="77777777" w:rsidR="00D15B84" w:rsidRPr="00382FC7" w:rsidRDefault="00D15B84" w:rsidP="00073EB8">
      <w:pPr>
        <w:rPr>
          <w:rFonts w:cstheme="minorHAnsi"/>
          <w:b/>
        </w:rPr>
      </w:pPr>
      <w:r w:rsidRPr="00382FC7">
        <w:rPr>
          <w:rFonts w:cstheme="minorHAnsi"/>
          <w:b/>
        </w:rPr>
        <w:t>Pick a Topic and Start Researching:</w:t>
      </w:r>
    </w:p>
    <w:p w14:paraId="307D9C14" w14:textId="77777777" w:rsidR="00D15B84" w:rsidRPr="00382FC7" w:rsidRDefault="00D15B84" w:rsidP="00073EB8">
      <w:pPr>
        <w:rPr>
          <w:rFonts w:cstheme="minorHAnsi"/>
          <w:b/>
        </w:rPr>
      </w:pPr>
    </w:p>
    <w:p w14:paraId="5DD988C6" w14:textId="77777777" w:rsidR="00D15B84" w:rsidRPr="00382FC7" w:rsidRDefault="00D15B84" w:rsidP="00073EB8">
      <w:pPr>
        <w:numPr>
          <w:ilvl w:val="0"/>
          <w:numId w:val="26"/>
        </w:numPr>
        <w:rPr>
          <w:rFonts w:cstheme="minorHAnsi"/>
        </w:rPr>
      </w:pPr>
      <w:r w:rsidRPr="00382FC7">
        <w:rPr>
          <w:rFonts w:cstheme="minorHAnsi"/>
        </w:rPr>
        <w:t>How do you pick a topic? Reflect on what you have heard and read in the course so far. Was there something discussed that you would like to learn more about? Was there an issue mentioned that troubles you? The more interest you have in learning more about a topic, the better your research will be.</w:t>
      </w:r>
    </w:p>
    <w:p w14:paraId="7D610824" w14:textId="77777777" w:rsidR="00D15B84" w:rsidRPr="00382FC7" w:rsidRDefault="00D15B84" w:rsidP="00073EB8">
      <w:pPr>
        <w:numPr>
          <w:ilvl w:val="0"/>
          <w:numId w:val="26"/>
        </w:numPr>
        <w:rPr>
          <w:rFonts w:cstheme="minorHAnsi"/>
        </w:rPr>
      </w:pPr>
      <w:r w:rsidRPr="00382FC7">
        <w:rPr>
          <w:rFonts w:cstheme="minorHAnsi"/>
        </w:rPr>
        <w:t>Look through the college library search engine to peruse titles related to the general topic in which you are interested. Then go to the library stacks and pull some books off the shelves and flip through them.</w:t>
      </w:r>
    </w:p>
    <w:p w14:paraId="0E8242B8" w14:textId="77777777" w:rsidR="00D15B84" w:rsidRPr="00382FC7" w:rsidRDefault="00D15B84" w:rsidP="00073EB8">
      <w:pPr>
        <w:numPr>
          <w:ilvl w:val="0"/>
          <w:numId w:val="26"/>
        </w:numPr>
        <w:rPr>
          <w:rFonts w:cstheme="minorHAnsi"/>
        </w:rPr>
      </w:pPr>
      <w:r w:rsidRPr="00382FC7">
        <w:rPr>
          <w:rFonts w:cstheme="minorHAnsi"/>
        </w:rPr>
        <w:t xml:space="preserve">Once you have a specific topic, look through reference works, such as </w:t>
      </w:r>
      <w:r w:rsidRPr="00382FC7">
        <w:rPr>
          <w:rFonts w:cstheme="minorHAnsi"/>
          <w:i/>
        </w:rPr>
        <w:t xml:space="preserve">The Encyclopedia of Islam </w:t>
      </w:r>
      <w:r w:rsidRPr="00382FC7">
        <w:rPr>
          <w:rFonts w:cstheme="minorHAnsi"/>
        </w:rPr>
        <w:t xml:space="preserve">(Brill) and </w:t>
      </w:r>
      <w:r w:rsidRPr="00382FC7">
        <w:rPr>
          <w:rFonts w:cstheme="minorHAnsi"/>
          <w:i/>
        </w:rPr>
        <w:t xml:space="preserve">The </w:t>
      </w:r>
      <w:proofErr w:type="spellStart"/>
      <w:r w:rsidRPr="00382FC7">
        <w:rPr>
          <w:rFonts w:cstheme="minorHAnsi"/>
          <w:i/>
        </w:rPr>
        <w:t>Encyclopdia</w:t>
      </w:r>
      <w:proofErr w:type="spellEnd"/>
      <w:r w:rsidRPr="00382FC7">
        <w:rPr>
          <w:rFonts w:cstheme="minorHAnsi"/>
          <w:i/>
        </w:rPr>
        <w:t xml:space="preserve"> of the Qur’an </w:t>
      </w:r>
      <w:r w:rsidRPr="00382FC7">
        <w:rPr>
          <w:rFonts w:cstheme="minorHAnsi"/>
        </w:rPr>
        <w:t xml:space="preserve">(Brill) for an entry on or related to this topic. This can give you a summary overview of issues you need to consider. </w:t>
      </w:r>
    </w:p>
    <w:p w14:paraId="36464737" w14:textId="77777777" w:rsidR="00D15B84" w:rsidRPr="00382FC7" w:rsidRDefault="00D15B84" w:rsidP="00073EB8">
      <w:pPr>
        <w:numPr>
          <w:ilvl w:val="0"/>
          <w:numId w:val="26"/>
        </w:numPr>
        <w:rPr>
          <w:rFonts w:cstheme="minorHAnsi"/>
        </w:rPr>
      </w:pPr>
      <w:r w:rsidRPr="00382FC7">
        <w:rPr>
          <w:rFonts w:cstheme="minorHAnsi"/>
        </w:rPr>
        <w:t xml:space="preserve">Look through the college library journal search engine, such as </w:t>
      </w:r>
      <w:r w:rsidRPr="00382FC7">
        <w:rPr>
          <w:rFonts w:cstheme="minorHAnsi"/>
          <w:i/>
        </w:rPr>
        <w:t xml:space="preserve">JSTOR </w:t>
      </w:r>
      <w:r w:rsidRPr="00382FC7">
        <w:rPr>
          <w:rFonts w:cstheme="minorHAnsi"/>
        </w:rPr>
        <w:t xml:space="preserve">and subject indices such as </w:t>
      </w:r>
      <w:r w:rsidRPr="00382FC7">
        <w:rPr>
          <w:rFonts w:cstheme="minorHAnsi"/>
          <w:i/>
        </w:rPr>
        <w:t xml:space="preserve">The Index </w:t>
      </w:r>
      <w:proofErr w:type="spellStart"/>
      <w:r w:rsidRPr="00382FC7">
        <w:rPr>
          <w:rFonts w:cstheme="minorHAnsi"/>
          <w:i/>
        </w:rPr>
        <w:t>Islamicus</w:t>
      </w:r>
      <w:proofErr w:type="spellEnd"/>
      <w:r w:rsidRPr="00382FC7">
        <w:rPr>
          <w:rFonts w:cstheme="minorHAnsi"/>
          <w:i/>
        </w:rPr>
        <w:t xml:space="preserve"> </w:t>
      </w:r>
      <w:r w:rsidRPr="00382FC7">
        <w:rPr>
          <w:rFonts w:cstheme="minorHAnsi"/>
        </w:rPr>
        <w:t>to find articles and book chapters that explore details of your topic.</w:t>
      </w:r>
    </w:p>
    <w:p w14:paraId="4126CF90" w14:textId="77777777" w:rsidR="00D15B84" w:rsidRPr="00382FC7" w:rsidRDefault="00D15B84" w:rsidP="00073EB8">
      <w:pPr>
        <w:numPr>
          <w:ilvl w:val="0"/>
          <w:numId w:val="26"/>
        </w:numPr>
        <w:rPr>
          <w:rFonts w:cstheme="minorHAnsi"/>
        </w:rPr>
      </w:pPr>
      <w:r w:rsidRPr="00382FC7">
        <w:rPr>
          <w:rFonts w:cstheme="minorHAnsi"/>
        </w:rPr>
        <w:t>Skim a pile of books and articles you have gathered on the topic until you have a clear sense of the sources, controversies, theories and issues related to your topic.</w:t>
      </w:r>
    </w:p>
    <w:p w14:paraId="08F5A534" w14:textId="77777777" w:rsidR="00D15B84" w:rsidRPr="00382FC7" w:rsidRDefault="00D15B84" w:rsidP="00073EB8">
      <w:pPr>
        <w:numPr>
          <w:ilvl w:val="0"/>
          <w:numId w:val="26"/>
        </w:numPr>
        <w:rPr>
          <w:rFonts w:cstheme="minorHAnsi"/>
        </w:rPr>
      </w:pPr>
      <w:r w:rsidRPr="00382FC7">
        <w:rPr>
          <w:rFonts w:cstheme="minorHAnsi"/>
        </w:rPr>
        <w:lastRenderedPageBreak/>
        <w:t>Do not begin to write your paper until you have a detailed outline which shows you what you have decided to discuss and how you are going to get there. Do not start writing without a clear plan.</w:t>
      </w:r>
    </w:p>
    <w:p w14:paraId="52CF5FDB" w14:textId="77777777" w:rsidR="00D15B84" w:rsidRPr="00382FC7" w:rsidRDefault="00D15B84" w:rsidP="00073EB8">
      <w:pPr>
        <w:numPr>
          <w:ilvl w:val="0"/>
          <w:numId w:val="26"/>
        </w:numPr>
        <w:rPr>
          <w:rFonts w:cstheme="minorHAnsi"/>
        </w:rPr>
      </w:pPr>
      <w:r w:rsidRPr="00382FC7">
        <w:rPr>
          <w:rFonts w:cstheme="minorHAnsi"/>
        </w:rPr>
        <w:t>Once you have your plan/outline, scrutinize it: do you get distracted with unimportant asides, are you looking at the subject in enough depth, do you have substantial sources for your sub-topics.</w:t>
      </w:r>
    </w:p>
    <w:p w14:paraId="789D3596" w14:textId="77777777" w:rsidR="00D15B84" w:rsidRPr="00382FC7" w:rsidRDefault="00D15B84" w:rsidP="00073EB8">
      <w:pPr>
        <w:rPr>
          <w:rFonts w:cstheme="minorHAnsi"/>
        </w:rPr>
      </w:pPr>
    </w:p>
    <w:p w14:paraId="421DC450" w14:textId="77777777" w:rsidR="00D15B84" w:rsidRPr="00382FC7" w:rsidRDefault="00D15B84" w:rsidP="00073EB8">
      <w:pPr>
        <w:rPr>
          <w:rFonts w:cstheme="minorHAnsi"/>
          <w:b/>
        </w:rPr>
      </w:pPr>
      <w:r w:rsidRPr="00382FC7">
        <w:rPr>
          <w:rFonts w:cstheme="minorHAnsi"/>
          <w:b/>
        </w:rPr>
        <w:t>Writing the Paper</w:t>
      </w:r>
    </w:p>
    <w:p w14:paraId="0B00FE9E" w14:textId="77777777" w:rsidR="00D15B84" w:rsidRPr="00382FC7" w:rsidRDefault="00D15B84" w:rsidP="00073EB8">
      <w:pPr>
        <w:numPr>
          <w:ilvl w:val="0"/>
          <w:numId w:val="27"/>
        </w:numPr>
        <w:rPr>
          <w:rFonts w:cstheme="minorHAnsi"/>
        </w:rPr>
      </w:pPr>
      <w:r w:rsidRPr="00382FC7">
        <w:rPr>
          <w:rFonts w:cstheme="minorHAnsi"/>
        </w:rPr>
        <w:t>Keep on topic</w:t>
      </w:r>
    </w:p>
    <w:p w14:paraId="4034A6CD" w14:textId="77777777" w:rsidR="00D15B84" w:rsidRPr="00382FC7" w:rsidRDefault="00D15B84" w:rsidP="00073EB8">
      <w:pPr>
        <w:numPr>
          <w:ilvl w:val="0"/>
          <w:numId w:val="27"/>
        </w:numPr>
        <w:rPr>
          <w:rFonts w:cstheme="minorHAnsi"/>
        </w:rPr>
      </w:pPr>
      <w:r w:rsidRPr="00382FC7">
        <w:rPr>
          <w:rFonts w:cstheme="minorHAnsi"/>
        </w:rPr>
        <w:t>Support factual claims with sources</w:t>
      </w:r>
    </w:p>
    <w:p w14:paraId="3EEFD12D" w14:textId="77777777" w:rsidR="00D15B84" w:rsidRPr="00382FC7" w:rsidRDefault="00D15B84" w:rsidP="00073EB8">
      <w:pPr>
        <w:numPr>
          <w:ilvl w:val="0"/>
          <w:numId w:val="27"/>
        </w:numPr>
        <w:rPr>
          <w:rFonts w:cstheme="minorHAnsi"/>
        </w:rPr>
      </w:pPr>
      <w:r w:rsidRPr="00382FC7">
        <w:rPr>
          <w:rFonts w:cstheme="minorHAnsi"/>
        </w:rPr>
        <w:t>Use secondary sources critically, explaining why or why not you agree with them</w:t>
      </w:r>
    </w:p>
    <w:p w14:paraId="113888DD" w14:textId="77777777" w:rsidR="00D15B84" w:rsidRPr="00382FC7" w:rsidRDefault="00D15B84" w:rsidP="00073EB8">
      <w:pPr>
        <w:numPr>
          <w:ilvl w:val="0"/>
          <w:numId w:val="27"/>
        </w:numPr>
        <w:rPr>
          <w:rFonts w:cstheme="minorHAnsi"/>
        </w:rPr>
      </w:pPr>
      <w:r w:rsidRPr="00382FC7">
        <w:rPr>
          <w:rFonts w:cstheme="minorHAnsi"/>
        </w:rPr>
        <w:t>If you are taking a position, state that clearly, support your position with evidence and respond to possible objections to your position.</w:t>
      </w:r>
    </w:p>
    <w:p w14:paraId="40E72DC6" w14:textId="77777777" w:rsidR="00D15B84" w:rsidRPr="00382FC7" w:rsidRDefault="00D15B84" w:rsidP="00073EB8">
      <w:pPr>
        <w:numPr>
          <w:ilvl w:val="0"/>
          <w:numId w:val="27"/>
        </w:numPr>
        <w:rPr>
          <w:rFonts w:cstheme="minorHAnsi"/>
        </w:rPr>
      </w:pPr>
      <w:r w:rsidRPr="00382FC7">
        <w:rPr>
          <w:rFonts w:cstheme="minorHAnsi"/>
        </w:rPr>
        <w:t>Do not waste time explaining basic terms or concepts of the field: this not the place to explain the meaning of “Islam” or the five pillars of Islam.</w:t>
      </w:r>
    </w:p>
    <w:p w14:paraId="7FD3D433" w14:textId="77777777" w:rsidR="00D15B84" w:rsidRPr="00382FC7" w:rsidRDefault="00D15B84" w:rsidP="00073EB8">
      <w:pPr>
        <w:numPr>
          <w:ilvl w:val="0"/>
          <w:numId w:val="27"/>
        </w:numPr>
        <w:rPr>
          <w:rFonts w:cstheme="minorHAnsi"/>
        </w:rPr>
      </w:pPr>
      <w:r w:rsidRPr="00382FC7">
        <w:rPr>
          <w:rFonts w:cstheme="minorHAnsi"/>
        </w:rPr>
        <w:t xml:space="preserve">Always attribute the subject of a statement. “Islam says” is not a meaningful phrase. The Qur’an ‘says’ things; hadith are claims that the Prophet Muhammad ‘said’ or ‘did’ something; particular scholars state that Islam requires one thing or another; Muslims state that Islam supports one view or another. </w:t>
      </w:r>
    </w:p>
    <w:p w14:paraId="7C80AF78" w14:textId="77777777" w:rsidR="00D15B84" w:rsidRPr="00382FC7" w:rsidRDefault="00D15B84" w:rsidP="00073EB8">
      <w:pPr>
        <w:numPr>
          <w:ilvl w:val="0"/>
          <w:numId w:val="27"/>
        </w:numPr>
        <w:rPr>
          <w:rFonts w:cstheme="minorHAnsi"/>
        </w:rPr>
      </w:pPr>
      <w:r w:rsidRPr="00382FC7">
        <w:rPr>
          <w:rFonts w:cstheme="minorHAnsi"/>
        </w:rPr>
        <w:t xml:space="preserve">Avoid if possible passive sentences. xxx </w:t>
      </w:r>
    </w:p>
    <w:p w14:paraId="6FD8940A" w14:textId="77777777" w:rsidR="00D15B84" w:rsidRPr="00382FC7" w:rsidRDefault="00D15B84" w:rsidP="00073EB8">
      <w:pPr>
        <w:numPr>
          <w:ilvl w:val="0"/>
          <w:numId w:val="27"/>
        </w:numPr>
        <w:rPr>
          <w:rFonts w:cstheme="minorHAnsi"/>
        </w:rPr>
      </w:pPr>
      <w:r w:rsidRPr="00382FC7">
        <w:rPr>
          <w:rFonts w:cstheme="minorHAnsi"/>
        </w:rPr>
        <w:t xml:space="preserve">If you are writing a research paper, as opposed to a persuasive essay, then you must adopt a </w:t>
      </w:r>
      <w:r w:rsidRPr="00382FC7">
        <w:rPr>
          <w:rFonts w:cstheme="minorHAnsi"/>
          <w:u w:val="single"/>
        </w:rPr>
        <w:t>neutral point of view</w:t>
      </w:r>
      <w:r w:rsidRPr="00382FC7">
        <w:rPr>
          <w:rFonts w:cstheme="minorHAnsi"/>
        </w:rPr>
        <w:t xml:space="preserve">. What is a neutral point of view? Wikipedia discusses it in its editorial guidelines here: </w:t>
      </w:r>
      <w:hyperlink r:id="rId10" w:history="1">
        <w:r w:rsidRPr="00382FC7">
          <w:rPr>
            <w:rStyle w:val="Hyperlink"/>
            <w:rFonts w:cstheme="minorHAnsi"/>
            <w:color w:val="auto"/>
          </w:rPr>
          <w:t>http://en.wikipedia.org/wiki/Wikipedia%3ANeutral_point_of_view</w:t>
        </w:r>
      </w:hyperlink>
      <w:r w:rsidRPr="00382FC7">
        <w:rPr>
          <w:rFonts w:cstheme="minorHAnsi"/>
        </w:rPr>
        <w:t xml:space="preserve">.  Please also view this video: </w:t>
      </w:r>
      <w:hyperlink r:id="rId11" w:history="1">
        <w:r w:rsidRPr="00382FC7">
          <w:rPr>
            <w:rStyle w:val="Hyperlink"/>
            <w:rFonts w:cstheme="minorHAnsi"/>
            <w:color w:val="auto"/>
          </w:rPr>
          <w:t>http://en.wikipedia.org/wiki/Wikipedia:Training/For_Ambassadors/Verifiability</w:t>
        </w:r>
      </w:hyperlink>
      <w:r w:rsidRPr="00382FC7">
        <w:rPr>
          <w:rFonts w:cstheme="minorHAnsi"/>
        </w:rPr>
        <w:t xml:space="preserve">. </w:t>
      </w:r>
    </w:p>
    <w:p w14:paraId="62B430CD" w14:textId="77777777" w:rsidR="00D15B84" w:rsidRPr="00382FC7" w:rsidRDefault="00D15B84" w:rsidP="00073EB8">
      <w:pPr>
        <w:numPr>
          <w:ilvl w:val="0"/>
          <w:numId w:val="27"/>
        </w:numPr>
        <w:rPr>
          <w:rFonts w:cstheme="minorHAnsi"/>
        </w:rPr>
      </w:pPr>
      <w:r w:rsidRPr="00382FC7">
        <w:rPr>
          <w:rFonts w:cstheme="minorHAnsi"/>
        </w:rPr>
        <w:t>Do explain technical and advanced concepts as needed.</w:t>
      </w:r>
    </w:p>
    <w:p w14:paraId="35C11B57" w14:textId="77777777" w:rsidR="00D15B84" w:rsidRPr="00382FC7" w:rsidRDefault="00D15B84" w:rsidP="00073EB8">
      <w:pPr>
        <w:numPr>
          <w:ilvl w:val="0"/>
          <w:numId w:val="27"/>
        </w:numPr>
        <w:rPr>
          <w:rFonts w:cstheme="minorHAnsi"/>
        </w:rPr>
      </w:pPr>
      <w:r w:rsidRPr="00382FC7">
        <w:rPr>
          <w:rFonts w:cstheme="minorHAnsi"/>
        </w:rPr>
        <w:t>Give death dates for all historical figures/sources cited.</w:t>
      </w:r>
    </w:p>
    <w:p w14:paraId="4C429D8A" w14:textId="77777777" w:rsidR="00D15B84" w:rsidRPr="00382FC7" w:rsidRDefault="00D15B84" w:rsidP="00073EB8">
      <w:pPr>
        <w:numPr>
          <w:ilvl w:val="0"/>
          <w:numId w:val="27"/>
        </w:numPr>
        <w:rPr>
          <w:rFonts w:cstheme="minorHAnsi"/>
        </w:rPr>
      </w:pPr>
      <w:r w:rsidRPr="00382FC7">
        <w:rPr>
          <w:rFonts w:cstheme="minorHAnsi"/>
        </w:rPr>
        <w:t>Do not rely too heavily on one or two sources. I ask for a minimum of five academic articles or book chapters on your topic not so they can be listed in your bibliography, but so you will use the specialized and focused research for your paper.</w:t>
      </w:r>
    </w:p>
    <w:p w14:paraId="32A2952B" w14:textId="77777777" w:rsidR="00D15B84" w:rsidRPr="00382FC7" w:rsidRDefault="00D15B84" w:rsidP="00073EB8">
      <w:pPr>
        <w:numPr>
          <w:ilvl w:val="0"/>
          <w:numId w:val="27"/>
        </w:numPr>
        <w:rPr>
          <w:rFonts w:cstheme="minorHAnsi"/>
        </w:rPr>
      </w:pPr>
      <w:r w:rsidRPr="00382FC7">
        <w:rPr>
          <w:rFonts w:cstheme="minorHAnsi"/>
        </w:rPr>
        <w:t xml:space="preserve">A common problem is failing to cite your reference or source for factual statements.  </w:t>
      </w:r>
    </w:p>
    <w:p w14:paraId="22416AE4" w14:textId="77777777" w:rsidR="00D15B84" w:rsidRPr="00382FC7" w:rsidRDefault="00D15B84" w:rsidP="00073EB8">
      <w:pPr>
        <w:numPr>
          <w:ilvl w:val="0"/>
          <w:numId w:val="27"/>
        </w:numPr>
        <w:rPr>
          <w:rFonts w:cstheme="minorHAnsi"/>
        </w:rPr>
      </w:pPr>
      <w:r w:rsidRPr="00382FC7">
        <w:rPr>
          <w:rFonts w:cstheme="minorHAnsi"/>
        </w:rPr>
        <w:t>Wikipedia is not an acceptable academic source for citation, although you may consult it to see if it can point you to useful sources. Be careful, however, that you do not let the wiki entry or any other encyclopedia source structure your argument for you.</w:t>
      </w:r>
    </w:p>
    <w:p w14:paraId="42AE5F41" w14:textId="77777777" w:rsidR="00D15B84" w:rsidRPr="00382FC7" w:rsidRDefault="00D15B84" w:rsidP="00073EB8">
      <w:pPr>
        <w:numPr>
          <w:ilvl w:val="0"/>
          <w:numId w:val="27"/>
        </w:numPr>
        <w:rPr>
          <w:rFonts w:cstheme="minorHAnsi"/>
        </w:rPr>
      </w:pPr>
      <w:r w:rsidRPr="00382FC7">
        <w:rPr>
          <w:rFonts w:cstheme="minorHAnsi"/>
        </w:rPr>
        <w:t xml:space="preserve">If you do not know what an acceptable academic source is, find out! Here is an a good resource to help you evaluate internet resources: Link: </w:t>
      </w:r>
      <w:hyperlink r:id="rId12" w:history="1">
        <w:r w:rsidRPr="00382FC7">
          <w:rPr>
            <w:rStyle w:val="Hyperlink"/>
            <w:rFonts w:cstheme="minorHAnsi"/>
            <w:color w:val="auto"/>
          </w:rPr>
          <w:t>http://www.collegeathome.com/articles/evaluating-online-information/</w:t>
        </w:r>
      </w:hyperlink>
      <w:r w:rsidRPr="00382FC7">
        <w:rPr>
          <w:rFonts w:cstheme="minorHAnsi"/>
        </w:rPr>
        <w:t xml:space="preserve">. </w:t>
      </w:r>
    </w:p>
    <w:p w14:paraId="368923D2" w14:textId="77777777" w:rsidR="00D15B84" w:rsidRPr="00382FC7" w:rsidRDefault="00D15B84" w:rsidP="00073EB8">
      <w:pPr>
        <w:numPr>
          <w:ilvl w:val="0"/>
          <w:numId w:val="27"/>
        </w:numPr>
        <w:rPr>
          <w:rFonts w:cstheme="minorHAnsi"/>
        </w:rPr>
      </w:pPr>
      <w:r w:rsidRPr="00382FC7">
        <w:rPr>
          <w:rFonts w:cstheme="minorHAnsi"/>
        </w:rPr>
        <w:t>Do not fail to draw on the sources and theories which we spent the semester learning for your analysis of sources.  Why did we read those hundreds of pages and discuss them in detail if you are not going to use them?</w:t>
      </w:r>
    </w:p>
    <w:p w14:paraId="462FF5A6" w14:textId="77777777" w:rsidR="00D15B84" w:rsidRPr="00382FC7" w:rsidRDefault="00D15B84" w:rsidP="00073EB8">
      <w:pPr>
        <w:numPr>
          <w:ilvl w:val="0"/>
          <w:numId w:val="27"/>
        </w:numPr>
        <w:rPr>
          <w:rFonts w:cstheme="minorHAnsi"/>
        </w:rPr>
      </w:pPr>
      <w:r w:rsidRPr="00382FC7">
        <w:rPr>
          <w:rFonts w:cstheme="minorHAnsi"/>
        </w:rPr>
        <w:t>Do not plagiarize. If you do not know what constitutes plagiarism, ask.</w:t>
      </w:r>
    </w:p>
    <w:p w14:paraId="38EFAA49" w14:textId="77777777" w:rsidR="00D15B84" w:rsidRPr="00382FC7" w:rsidRDefault="00D15B84" w:rsidP="00073EB8">
      <w:pPr>
        <w:rPr>
          <w:rFonts w:cstheme="minorHAnsi"/>
        </w:rPr>
      </w:pPr>
    </w:p>
    <w:p w14:paraId="5D648936" w14:textId="77777777" w:rsidR="00D15B84" w:rsidRPr="00382FC7" w:rsidRDefault="00D15B84" w:rsidP="00073EB8">
      <w:pPr>
        <w:rPr>
          <w:rFonts w:cstheme="minorHAnsi"/>
          <w:b/>
        </w:rPr>
      </w:pPr>
      <w:r w:rsidRPr="00382FC7">
        <w:rPr>
          <w:rFonts w:cstheme="minorHAnsi"/>
          <w:b/>
        </w:rPr>
        <w:t>Form:</w:t>
      </w:r>
    </w:p>
    <w:p w14:paraId="74F0BC86" w14:textId="77777777" w:rsidR="00D15B84" w:rsidRPr="00382FC7" w:rsidRDefault="00D15B84" w:rsidP="00073EB8">
      <w:pPr>
        <w:numPr>
          <w:ilvl w:val="0"/>
          <w:numId w:val="25"/>
        </w:numPr>
        <w:rPr>
          <w:rFonts w:cstheme="minorHAnsi"/>
        </w:rPr>
      </w:pPr>
      <w:r w:rsidRPr="00382FC7">
        <w:rPr>
          <w:rFonts w:cstheme="minorHAnsi"/>
        </w:rPr>
        <w:t xml:space="preserve">Written expression: Even if you have been communicating in English for many years, writing requires a degree of accuracy in expression that is not necessary in oral communication.  Writing improves only with practice, with feedback, and by the writer being willing to throw out bad or unclear writing – words, sentences, paragraphs, even whole sections – and rewrite and reorganize.  All good writing is the product of many drafts. </w:t>
      </w:r>
    </w:p>
    <w:p w14:paraId="527D4DB3" w14:textId="77777777" w:rsidR="00D15B84" w:rsidRPr="00382FC7" w:rsidRDefault="00D15B84" w:rsidP="00073EB8">
      <w:pPr>
        <w:numPr>
          <w:ilvl w:val="0"/>
          <w:numId w:val="25"/>
        </w:numPr>
        <w:rPr>
          <w:rFonts w:cstheme="minorHAnsi"/>
        </w:rPr>
      </w:pPr>
      <w:r w:rsidRPr="00382FC7">
        <w:rPr>
          <w:rFonts w:cstheme="minorHAnsi"/>
        </w:rPr>
        <w:t>Citing sources in footnotes and bibliography: Chicago style is preferred although other recognized systems may be used.</w:t>
      </w:r>
    </w:p>
    <w:p w14:paraId="2C1AB0F5" w14:textId="77777777" w:rsidR="00D15B84" w:rsidRPr="00382FC7" w:rsidRDefault="00D15B84" w:rsidP="00073EB8">
      <w:pPr>
        <w:numPr>
          <w:ilvl w:val="0"/>
          <w:numId w:val="25"/>
        </w:numPr>
        <w:rPr>
          <w:rFonts w:cstheme="minorHAnsi"/>
        </w:rPr>
      </w:pPr>
      <w:r w:rsidRPr="00382FC7">
        <w:rPr>
          <w:rFonts w:cstheme="minorHAnsi"/>
        </w:rPr>
        <w:lastRenderedPageBreak/>
        <w:t xml:space="preserve">Use standard sized margins, double-spacing (do not use more than double-spacing), and </w:t>
      </w:r>
      <w:proofErr w:type="gramStart"/>
      <w:r w:rsidRPr="00382FC7">
        <w:rPr>
          <w:rFonts w:cstheme="minorHAnsi"/>
        </w:rPr>
        <w:t>12 point</w:t>
      </w:r>
      <w:proofErr w:type="gramEnd"/>
      <w:r w:rsidRPr="00382FC7">
        <w:rPr>
          <w:rFonts w:cstheme="minorHAnsi"/>
        </w:rPr>
        <w:t xml:space="preserve"> font for your papers.  Do not insert a space between paragraphs, unless you are starting a new section.</w:t>
      </w:r>
    </w:p>
    <w:p w14:paraId="1703742F" w14:textId="77777777" w:rsidR="00D15B84" w:rsidRPr="00382FC7" w:rsidRDefault="00D15B84" w:rsidP="00073EB8">
      <w:pPr>
        <w:numPr>
          <w:ilvl w:val="0"/>
          <w:numId w:val="25"/>
        </w:numPr>
        <w:rPr>
          <w:rFonts w:cstheme="minorHAnsi"/>
        </w:rPr>
      </w:pPr>
      <w:r w:rsidRPr="00382FC7">
        <w:rPr>
          <w:rFonts w:cstheme="minorHAnsi"/>
        </w:rPr>
        <w:t>Long quotations should be single-spaced block quotes.</w:t>
      </w:r>
    </w:p>
    <w:p w14:paraId="7A8CE5FE" w14:textId="77777777" w:rsidR="00D15B84" w:rsidRPr="00382FC7" w:rsidRDefault="00D15B84" w:rsidP="00073EB8">
      <w:pPr>
        <w:numPr>
          <w:ilvl w:val="0"/>
          <w:numId w:val="25"/>
        </w:numPr>
        <w:rPr>
          <w:rFonts w:cstheme="minorHAnsi"/>
        </w:rPr>
      </w:pPr>
      <w:r w:rsidRPr="00382FC7">
        <w:rPr>
          <w:rFonts w:cstheme="minorHAnsi"/>
        </w:rPr>
        <w:t xml:space="preserve">Follow generally the guidelines for form in this document: </w:t>
      </w:r>
      <w:hyperlink r:id="rId13" w:history="1">
        <w:r w:rsidRPr="00382FC7">
          <w:rPr>
            <w:rStyle w:val="Hyperlink"/>
            <w:rFonts w:cstheme="minorHAnsi"/>
            <w:color w:val="auto"/>
          </w:rPr>
          <w:t>http://hartsem.edu/new_forms/GeneralGuidelinesforResearchPaper.pdf</w:t>
        </w:r>
      </w:hyperlink>
    </w:p>
    <w:p w14:paraId="0A6046F3" w14:textId="77777777" w:rsidR="00D15B84" w:rsidRPr="00382FC7" w:rsidRDefault="00D15B84" w:rsidP="00073EB8">
      <w:pPr>
        <w:numPr>
          <w:ilvl w:val="0"/>
          <w:numId w:val="25"/>
        </w:numPr>
        <w:rPr>
          <w:rFonts w:cstheme="minorHAnsi"/>
        </w:rPr>
      </w:pPr>
      <w:r w:rsidRPr="00382FC7">
        <w:rPr>
          <w:rFonts w:cstheme="minorHAnsi"/>
        </w:rPr>
        <w:t>Use of Arabic and other non-English words: All non-English words should be italicized at first use. Some scholars will continue to italicize a word after the first use; others will not. Pick a style and be consistent.  Some words that are not English in origin have become Anglicized and do not need italicization. Check the Oxford English Dictionary (preferred) or another academic dictionary to see if this is the case.  Many Arabic-Islamic words, such as Islam, Muslim, Imam, hadith, etc. have been Anglicized.  The standard spelling of the Islamic sacred text is: “Qur’an.”</w:t>
      </w:r>
    </w:p>
    <w:p w14:paraId="39D939AF" w14:textId="4BCEFBE8" w:rsidR="00D15B84" w:rsidRPr="00382FC7" w:rsidRDefault="00D15B84" w:rsidP="00356955">
      <w:pPr>
        <w:numPr>
          <w:ilvl w:val="0"/>
          <w:numId w:val="25"/>
        </w:numPr>
        <w:rPr>
          <w:rFonts w:cstheme="minorHAnsi"/>
        </w:rPr>
      </w:pPr>
      <w:r w:rsidRPr="00382FC7">
        <w:rPr>
          <w:rFonts w:cstheme="minorHAnsi"/>
        </w:rPr>
        <w:t xml:space="preserve">Transliteration: Use “standardized” academic Arabic transliteration. The difficulty here is that there is not a universal system.  The best system is the one used by IJMES found here: </w:t>
      </w:r>
      <w:hyperlink r:id="rId14" w:history="1">
        <w:r w:rsidRPr="00382FC7">
          <w:rPr>
            <w:rStyle w:val="Hyperlink"/>
            <w:rFonts w:cstheme="minorHAnsi"/>
            <w:color w:val="auto"/>
          </w:rPr>
          <w:t>http://web.gc.cuny.edu/ijmes/pages/transliteration.html</w:t>
        </w:r>
      </w:hyperlink>
      <w:r w:rsidRPr="00382FC7">
        <w:rPr>
          <w:rFonts w:cstheme="minorHAnsi"/>
        </w:rPr>
        <w:t xml:space="preserve">. </w:t>
      </w:r>
    </w:p>
    <w:p w14:paraId="5D86B1C9" w14:textId="77777777" w:rsidR="00D15B84" w:rsidRPr="00382FC7" w:rsidRDefault="00D15B84" w:rsidP="00073EB8">
      <w:pPr>
        <w:rPr>
          <w:rFonts w:cstheme="minorHAnsi"/>
        </w:rPr>
      </w:pPr>
    </w:p>
    <w:p w14:paraId="135F433D" w14:textId="01CB9C03" w:rsidR="00D15B84" w:rsidRPr="00382FC7" w:rsidRDefault="00D15B84" w:rsidP="00073EB8">
      <w:pPr>
        <w:ind w:left="360"/>
        <w:rPr>
          <w:rFonts w:cstheme="minorHAnsi"/>
          <w:b/>
          <w:bCs/>
        </w:rPr>
      </w:pPr>
      <w:r w:rsidRPr="00382FC7">
        <w:rPr>
          <w:rFonts w:cstheme="minorHAnsi"/>
          <w:b/>
          <w:bCs/>
        </w:rPr>
        <w:t xml:space="preserve">Here’s what your </w:t>
      </w:r>
      <w:r w:rsidR="0020639E" w:rsidRPr="00382FC7">
        <w:rPr>
          <w:rFonts w:cstheme="minorHAnsi"/>
          <w:b/>
          <w:bCs/>
        </w:rPr>
        <w:t xml:space="preserve">essay </w:t>
      </w:r>
      <w:r w:rsidRPr="00382FC7">
        <w:rPr>
          <w:rFonts w:cstheme="minorHAnsi"/>
          <w:b/>
          <w:bCs/>
        </w:rPr>
        <w:t>grade represents:</w:t>
      </w:r>
    </w:p>
    <w:p w14:paraId="48A33F1F" w14:textId="36B33CE1" w:rsidR="00D15B84" w:rsidRPr="00382FC7" w:rsidRDefault="00D15B84" w:rsidP="00073EB8">
      <w:pPr>
        <w:ind w:left="360"/>
        <w:rPr>
          <w:rFonts w:cstheme="minorHAnsi"/>
        </w:rPr>
      </w:pPr>
      <w:r w:rsidRPr="00382FC7">
        <w:rPr>
          <w:rFonts w:cstheme="minorHAnsi"/>
        </w:rPr>
        <w:t>A+ Exceptional; given to one or two students a year</w:t>
      </w:r>
    </w:p>
    <w:p w14:paraId="39B95870" w14:textId="77777777" w:rsidR="00D15B84" w:rsidRPr="00382FC7" w:rsidRDefault="00D15B84" w:rsidP="00073EB8">
      <w:pPr>
        <w:ind w:left="360"/>
        <w:rPr>
          <w:rFonts w:cstheme="minorHAnsi"/>
        </w:rPr>
      </w:pPr>
      <w:proofErr w:type="gramStart"/>
      <w:r w:rsidRPr="00382FC7">
        <w:rPr>
          <w:rFonts w:cstheme="minorHAnsi"/>
        </w:rPr>
        <w:t>A</w:t>
      </w:r>
      <w:proofErr w:type="gramEnd"/>
      <w:r w:rsidRPr="00382FC7">
        <w:rPr>
          <w:rFonts w:cstheme="minorHAnsi"/>
        </w:rPr>
        <w:tab/>
        <w:t>Exceeds expectations; deep analysis; unusual insights</w:t>
      </w:r>
    </w:p>
    <w:p w14:paraId="168281CE" w14:textId="77777777" w:rsidR="00D15B84" w:rsidRPr="00382FC7" w:rsidRDefault="00D15B84" w:rsidP="00073EB8">
      <w:pPr>
        <w:ind w:left="360"/>
        <w:rPr>
          <w:rFonts w:cstheme="minorHAnsi"/>
        </w:rPr>
      </w:pPr>
      <w:r w:rsidRPr="00382FC7">
        <w:rPr>
          <w:rFonts w:cstheme="minorHAnsi"/>
        </w:rPr>
        <w:t xml:space="preserve">A- </w:t>
      </w:r>
      <w:r w:rsidRPr="00382FC7">
        <w:rPr>
          <w:rFonts w:cstheme="minorHAnsi"/>
        </w:rPr>
        <w:tab/>
        <w:t>Well-written and documented, some good insights</w:t>
      </w:r>
    </w:p>
    <w:p w14:paraId="27BA6965" w14:textId="4AE23030" w:rsidR="00D15B84" w:rsidRPr="00382FC7" w:rsidRDefault="00D15B84" w:rsidP="00073EB8">
      <w:pPr>
        <w:ind w:left="360"/>
        <w:rPr>
          <w:rFonts w:cstheme="minorHAnsi"/>
        </w:rPr>
      </w:pPr>
      <w:r w:rsidRPr="00382FC7">
        <w:rPr>
          <w:rFonts w:cstheme="minorHAnsi"/>
        </w:rPr>
        <w:t>B+ A solid paper; meets basic expectations but lacks some originality</w:t>
      </w:r>
    </w:p>
    <w:p w14:paraId="356A0BF4" w14:textId="77777777" w:rsidR="00D15B84" w:rsidRPr="00382FC7" w:rsidRDefault="00D15B84" w:rsidP="00073EB8">
      <w:pPr>
        <w:ind w:left="360"/>
        <w:rPr>
          <w:rFonts w:cstheme="minorHAnsi"/>
        </w:rPr>
      </w:pPr>
      <w:r w:rsidRPr="00382FC7">
        <w:rPr>
          <w:rFonts w:cstheme="minorHAnsi"/>
        </w:rPr>
        <w:t>B</w:t>
      </w:r>
      <w:r w:rsidRPr="00382FC7">
        <w:rPr>
          <w:rFonts w:cstheme="minorHAnsi"/>
        </w:rPr>
        <w:tab/>
        <w:t>A good start; needs more documentation and analysis; some errors</w:t>
      </w:r>
    </w:p>
    <w:p w14:paraId="40595553" w14:textId="77777777" w:rsidR="00D15B84" w:rsidRPr="00382FC7" w:rsidRDefault="00D15B84" w:rsidP="00073EB8">
      <w:pPr>
        <w:ind w:left="360"/>
        <w:rPr>
          <w:rFonts w:cstheme="minorHAnsi"/>
        </w:rPr>
      </w:pPr>
      <w:r w:rsidRPr="00382FC7">
        <w:rPr>
          <w:rFonts w:cstheme="minorHAnsi"/>
        </w:rPr>
        <w:t xml:space="preserve">B - </w:t>
      </w:r>
      <w:r w:rsidRPr="00382FC7">
        <w:rPr>
          <w:rFonts w:cstheme="minorHAnsi"/>
        </w:rPr>
        <w:tab/>
        <w:t>Not too many mistakes, but offers little analysis or significant content</w:t>
      </w:r>
    </w:p>
    <w:p w14:paraId="3E2B2825" w14:textId="77777777" w:rsidR="00D15B84" w:rsidRPr="00382FC7" w:rsidRDefault="00D15B84" w:rsidP="00073EB8">
      <w:pPr>
        <w:ind w:left="360"/>
        <w:rPr>
          <w:rFonts w:cstheme="minorHAnsi"/>
        </w:rPr>
      </w:pPr>
      <w:r w:rsidRPr="00382FC7">
        <w:rPr>
          <w:rFonts w:cstheme="minorHAnsi"/>
        </w:rPr>
        <w:t>C+</w:t>
      </w:r>
      <w:r w:rsidRPr="00382FC7">
        <w:rPr>
          <w:rFonts w:cstheme="minorHAnsi"/>
        </w:rPr>
        <w:tab/>
        <w:t>Some errors; poorly documented or argued</w:t>
      </w:r>
    </w:p>
    <w:p w14:paraId="2B3FF1DE" w14:textId="6B8F1269" w:rsidR="00AE55A7" w:rsidRPr="00382FC7" w:rsidRDefault="00D15B84" w:rsidP="00073EB8">
      <w:pPr>
        <w:ind w:left="720" w:hanging="360"/>
        <w:rPr>
          <w:rFonts w:cstheme="minorHAnsi"/>
        </w:rPr>
      </w:pPr>
      <w:r w:rsidRPr="00382FC7">
        <w:rPr>
          <w:rFonts w:cstheme="minorHAnsi"/>
        </w:rPr>
        <w:t xml:space="preserve">C </w:t>
      </w:r>
      <w:r w:rsidRPr="00382FC7">
        <w:rPr>
          <w:rFonts w:cstheme="minorHAnsi"/>
        </w:rPr>
        <w:tab/>
      </w:r>
      <w:r w:rsidR="0020639E" w:rsidRPr="00382FC7">
        <w:rPr>
          <w:rFonts w:cstheme="minorHAnsi"/>
        </w:rPr>
        <w:t>Difficult to follow the argument; little documentation or analysis</w:t>
      </w:r>
    </w:p>
    <w:p w14:paraId="6AC22FDE" w14:textId="77777777" w:rsidR="0020639E" w:rsidRPr="00382FC7" w:rsidRDefault="0020639E" w:rsidP="00073EB8">
      <w:pPr>
        <w:ind w:left="720" w:hanging="360"/>
        <w:rPr>
          <w:rFonts w:cstheme="minorHAnsi"/>
        </w:rPr>
      </w:pPr>
    </w:p>
    <w:p w14:paraId="73C9CBFE" w14:textId="77777777" w:rsidR="00D70508" w:rsidRPr="00382FC7" w:rsidRDefault="00D70508">
      <w:pPr>
        <w:rPr>
          <w:rFonts w:cstheme="minorHAnsi"/>
          <w:b/>
          <w:bCs/>
        </w:rPr>
      </w:pPr>
      <w:r w:rsidRPr="00382FC7">
        <w:rPr>
          <w:rFonts w:cstheme="minorHAnsi"/>
          <w:b/>
          <w:bCs/>
        </w:rPr>
        <w:br w:type="page"/>
      </w:r>
    </w:p>
    <w:p w14:paraId="59769820" w14:textId="28919339" w:rsidR="00AE55A7" w:rsidRPr="00382FC7" w:rsidRDefault="00AE55A7" w:rsidP="00073EB8">
      <w:pPr>
        <w:rPr>
          <w:rFonts w:cstheme="minorHAnsi"/>
          <w:b/>
          <w:bCs/>
        </w:rPr>
      </w:pPr>
      <w:r w:rsidRPr="00382FC7">
        <w:rPr>
          <w:rFonts w:cstheme="minorHAnsi"/>
          <w:b/>
          <w:bCs/>
        </w:rPr>
        <w:lastRenderedPageBreak/>
        <w:t>Additional Statements:</w:t>
      </w:r>
    </w:p>
    <w:p w14:paraId="35B6DFDD" w14:textId="1FA3CAC2" w:rsidR="00AE55A7" w:rsidRPr="00382FC7" w:rsidRDefault="00AE55A7" w:rsidP="00073EB8">
      <w:pPr>
        <w:rPr>
          <w:rFonts w:cstheme="minorHAnsi"/>
          <w:b/>
          <w:bCs/>
        </w:rPr>
      </w:pPr>
    </w:p>
    <w:p w14:paraId="6D1B6097" w14:textId="77777777" w:rsidR="00D70508" w:rsidRPr="00382FC7" w:rsidRDefault="00D70508" w:rsidP="00D70508">
      <w:pPr>
        <w:pStyle w:val="xmsonormal"/>
        <w:spacing w:after="240"/>
        <w:rPr>
          <w:rFonts w:asciiTheme="minorHAnsi" w:hAnsiTheme="minorHAnsi" w:cstheme="minorHAnsi"/>
          <w:sz w:val="22"/>
          <w:szCs w:val="22"/>
          <w:lang w:val="en-CA"/>
        </w:rPr>
      </w:pPr>
      <w:r w:rsidRPr="00382FC7">
        <w:rPr>
          <w:rFonts w:asciiTheme="minorHAnsi" w:hAnsiTheme="minorHAnsi" w:cstheme="minorHAnsi"/>
          <w:b/>
          <w:bCs/>
          <w:sz w:val="22"/>
          <w:szCs w:val="22"/>
          <w:lang w:val="en-CA"/>
        </w:rPr>
        <w:t>Course delivery with respect to the COVID-19 pandemic</w:t>
      </w:r>
    </w:p>
    <w:p w14:paraId="06446CDE" w14:textId="41C9930E" w:rsidR="00D70508" w:rsidRPr="00382FC7" w:rsidRDefault="00D70508" w:rsidP="00D70508">
      <w:pPr>
        <w:pStyle w:val="xmsonormal"/>
        <w:spacing w:after="240"/>
        <w:rPr>
          <w:rFonts w:asciiTheme="minorHAnsi" w:hAnsiTheme="minorHAnsi" w:cstheme="minorHAnsi"/>
          <w:sz w:val="22"/>
          <w:szCs w:val="22"/>
          <w:lang w:val="en-CA"/>
        </w:rPr>
      </w:pPr>
      <w:r w:rsidRPr="00382FC7">
        <w:rPr>
          <w:rFonts w:asciiTheme="minorHAnsi" w:hAnsiTheme="minorHAnsi" w:cstheme="minorHAnsi"/>
          <w:sz w:val="22"/>
          <w:szCs w:val="22"/>
          <w:lang w:val="en-CA"/>
        </w:rPr>
        <w:t>Although the intent is for this course to be delivered in-person, the changing COVID-19 landscape may necessitate some or all of the course to be delivered online, either synchronously (i.e., at the times indicated in the timetable) or asynchronously (e.g., posted on OWL for students to view at their convenience).  The grading scheme will not change.  Any assessments affected will be conducted online as determined by the course instructor.</w:t>
      </w:r>
    </w:p>
    <w:p w14:paraId="69A63523" w14:textId="2851768E" w:rsidR="00D70508" w:rsidRPr="00382FC7" w:rsidRDefault="00D70508" w:rsidP="00073EB8">
      <w:pPr>
        <w:rPr>
          <w:rFonts w:cstheme="minorHAnsi"/>
          <w:b/>
          <w:bCs/>
        </w:rPr>
      </w:pPr>
    </w:p>
    <w:p w14:paraId="583DDC35" w14:textId="77777777" w:rsidR="00D70508" w:rsidRPr="00382FC7" w:rsidRDefault="00D70508" w:rsidP="00073EB8">
      <w:pPr>
        <w:rPr>
          <w:rFonts w:cstheme="minorHAnsi"/>
          <w:b/>
          <w:bCs/>
        </w:rPr>
      </w:pPr>
    </w:p>
    <w:p w14:paraId="7434E9A8" w14:textId="7279F021" w:rsidR="00AE55A7" w:rsidRPr="00382FC7" w:rsidRDefault="00AE55A7" w:rsidP="00073EB8">
      <w:pPr>
        <w:numPr>
          <w:ilvl w:val="0"/>
          <w:numId w:val="18"/>
        </w:numPr>
        <w:autoSpaceDE w:val="0"/>
        <w:autoSpaceDN w:val="0"/>
        <w:adjustRightInd w:val="0"/>
        <w:rPr>
          <w:rFonts w:cstheme="minorHAnsi"/>
        </w:rPr>
      </w:pPr>
      <w:r w:rsidRPr="00382FC7">
        <w:rPr>
          <w:rFonts w:cstheme="minorHAnsi"/>
          <w:b/>
          <w:bCs/>
        </w:rPr>
        <w:t xml:space="preserve">Statement on Use of Electronic Devices: </w:t>
      </w:r>
      <w:r w:rsidRPr="00382FC7">
        <w:rPr>
          <w:rFonts w:cstheme="minorHAnsi"/>
        </w:rPr>
        <w:t xml:space="preserve">It is not appropriate to use technology (such as, but not limited, to laptops, PDAs, cell phones) in the classroom for non-classroom activities.  Such activity is disruptive and is distracting to other students and to the instructor and can inhibit learning.  Students are expected to respect the classroom environment and to refrain from inappropriate use of technology and other electronic devices in class. </w:t>
      </w:r>
    </w:p>
    <w:p w14:paraId="2CF4BD2E" w14:textId="77777777" w:rsidR="00AE55A7" w:rsidRPr="00382FC7" w:rsidRDefault="00AE55A7" w:rsidP="00073EB8">
      <w:pPr>
        <w:rPr>
          <w:rFonts w:cstheme="minorHAnsi"/>
        </w:rPr>
      </w:pPr>
    </w:p>
    <w:p w14:paraId="5CC36E72" w14:textId="258EA36D" w:rsidR="00AE55A7" w:rsidRPr="00382FC7" w:rsidRDefault="00AE55A7" w:rsidP="00073EB8">
      <w:pPr>
        <w:numPr>
          <w:ilvl w:val="0"/>
          <w:numId w:val="18"/>
        </w:numPr>
        <w:rPr>
          <w:rFonts w:cstheme="minorHAnsi"/>
        </w:rPr>
      </w:pPr>
      <w:r w:rsidRPr="00382FC7">
        <w:rPr>
          <w:rFonts w:cstheme="minorHAnsi"/>
          <w:b/>
          <w:bCs/>
        </w:rPr>
        <w:t xml:space="preserve">Statement on Academic Offences:  </w:t>
      </w:r>
      <w:r w:rsidRPr="00382FC7">
        <w:rPr>
          <w:rFonts w:cstheme="minorHAnsi"/>
        </w:rPr>
        <w:t>Scholastic offences are taken seriously and students are directed to read the appropriate policy, specifically, the definition of what constitutes a Scholastic Offence, at the following web site:  http://www.westerncalendar.uwo.ca/2014/pg113.html.</w:t>
      </w:r>
    </w:p>
    <w:p w14:paraId="50710193" w14:textId="77777777" w:rsidR="00AE55A7" w:rsidRPr="00382FC7" w:rsidRDefault="00AE55A7" w:rsidP="00073EB8">
      <w:pPr>
        <w:rPr>
          <w:rFonts w:cstheme="minorHAnsi"/>
        </w:rPr>
      </w:pPr>
    </w:p>
    <w:p w14:paraId="1A564F67" w14:textId="7F94B53D" w:rsidR="00AE55A7" w:rsidRPr="00382FC7" w:rsidRDefault="00AE55A7" w:rsidP="00073EB8">
      <w:pPr>
        <w:numPr>
          <w:ilvl w:val="0"/>
          <w:numId w:val="18"/>
        </w:numPr>
        <w:rPr>
          <w:rFonts w:cstheme="minorHAnsi"/>
          <w:b/>
          <w:bCs/>
          <w:i/>
        </w:rPr>
      </w:pPr>
      <w:r w:rsidRPr="00382FC7">
        <w:rPr>
          <w:rFonts w:cstheme="minorHAnsi"/>
          <w:b/>
          <w:bCs/>
        </w:rPr>
        <w:t xml:space="preserve">Plagiarism-detecting Software/Computer Marking: </w:t>
      </w:r>
    </w:p>
    <w:p w14:paraId="7C30E494" w14:textId="77777777" w:rsidR="00AE55A7" w:rsidRPr="00382FC7" w:rsidRDefault="00AE55A7" w:rsidP="00073EB8">
      <w:pPr>
        <w:numPr>
          <w:ilvl w:val="0"/>
          <w:numId w:val="20"/>
        </w:numPr>
        <w:autoSpaceDE w:val="0"/>
        <w:autoSpaceDN w:val="0"/>
        <w:adjustRightInd w:val="0"/>
        <w:rPr>
          <w:rFonts w:cstheme="minorHAnsi"/>
        </w:rPr>
      </w:pPr>
      <w:r w:rsidRPr="00382FC7">
        <w:rPr>
          <w:rFonts w:cstheme="minorHAnsi"/>
        </w:rPr>
        <w:t xml:space="preserve"> All required papers may be subject to submission for textual similarity review to the</w:t>
      </w:r>
    </w:p>
    <w:p w14:paraId="7ABDEA83" w14:textId="77777777" w:rsidR="00AE55A7" w:rsidRPr="00382FC7" w:rsidRDefault="00AE55A7" w:rsidP="00073EB8">
      <w:pPr>
        <w:autoSpaceDE w:val="0"/>
        <w:autoSpaceDN w:val="0"/>
        <w:adjustRightInd w:val="0"/>
        <w:ind w:left="390"/>
        <w:rPr>
          <w:rFonts w:cstheme="minorHAnsi"/>
        </w:rPr>
      </w:pPr>
      <w:r w:rsidRPr="00382FC7">
        <w:rPr>
          <w:rFonts w:cstheme="minorHAnsi"/>
        </w:rPr>
        <w:t>commercial plagiarism detection software under license to the University for the detection</w:t>
      </w:r>
    </w:p>
    <w:p w14:paraId="62DAA165" w14:textId="77777777" w:rsidR="00AE55A7" w:rsidRPr="00382FC7" w:rsidRDefault="00AE55A7" w:rsidP="00073EB8">
      <w:pPr>
        <w:autoSpaceDE w:val="0"/>
        <w:autoSpaceDN w:val="0"/>
        <w:adjustRightInd w:val="0"/>
        <w:ind w:left="390"/>
        <w:rPr>
          <w:rFonts w:cstheme="minorHAnsi"/>
        </w:rPr>
      </w:pPr>
      <w:r w:rsidRPr="00382FC7">
        <w:rPr>
          <w:rFonts w:cstheme="minorHAnsi"/>
        </w:rPr>
        <w:t>of plagiarism. All papers submitted for such checking will be included as source documents</w:t>
      </w:r>
    </w:p>
    <w:p w14:paraId="786E78A1" w14:textId="77777777" w:rsidR="00AE55A7" w:rsidRPr="00382FC7" w:rsidRDefault="00AE55A7" w:rsidP="00073EB8">
      <w:pPr>
        <w:autoSpaceDE w:val="0"/>
        <w:autoSpaceDN w:val="0"/>
        <w:adjustRightInd w:val="0"/>
        <w:ind w:left="390"/>
        <w:rPr>
          <w:rFonts w:cstheme="minorHAnsi"/>
        </w:rPr>
      </w:pPr>
      <w:r w:rsidRPr="00382FC7">
        <w:rPr>
          <w:rFonts w:cstheme="minorHAnsi"/>
        </w:rPr>
        <w:t>in the reference database for the purpose of detecting plagiarism of papers subsequently</w:t>
      </w:r>
    </w:p>
    <w:p w14:paraId="4116A9A1" w14:textId="77777777" w:rsidR="00AE55A7" w:rsidRPr="00382FC7" w:rsidRDefault="00AE55A7" w:rsidP="00073EB8">
      <w:pPr>
        <w:autoSpaceDE w:val="0"/>
        <w:autoSpaceDN w:val="0"/>
        <w:adjustRightInd w:val="0"/>
        <w:ind w:left="390"/>
        <w:rPr>
          <w:rFonts w:cstheme="minorHAnsi"/>
        </w:rPr>
      </w:pPr>
      <w:r w:rsidRPr="00382FC7">
        <w:rPr>
          <w:rFonts w:cstheme="minorHAnsi"/>
        </w:rPr>
        <w:t>submitted to the system. Use of the service is subject to the licensing agreement, currently</w:t>
      </w:r>
    </w:p>
    <w:p w14:paraId="36EDAF12" w14:textId="00AB68DA" w:rsidR="00AE55A7" w:rsidRPr="00382FC7" w:rsidRDefault="00AE55A7" w:rsidP="00073EB8">
      <w:pPr>
        <w:autoSpaceDE w:val="0"/>
        <w:autoSpaceDN w:val="0"/>
        <w:adjustRightInd w:val="0"/>
        <w:ind w:left="390"/>
        <w:rPr>
          <w:rFonts w:cstheme="minorHAnsi"/>
        </w:rPr>
      </w:pPr>
      <w:r w:rsidRPr="00382FC7">
        <w:rPr>
          <w:rFonts w:cstheme="minorHAnsi"/>
        </w:rPr>
        <w:t xml:space="preserve">between The University of Western Ontario and Turnitin.com </w:t>
      </w:r>
      <w:proofErr w:type="gramStart"/>
      <w:r w:rsidRPr="00382FC7">
        <w:rPr>
          <w:rFonts w:cstheme="minorHAnsi"/>
        </w:rPr>
        <w:t>( http://www.turnitin.com</w:t>
      </w:r>
      <w:proofErr w:type="gramEnd"/>
      <w:r w:rsidRPr="00382FC7">
        <w:rPr>
          <w:rFonts w:cstheme="minorHAnsi"/>
        </w:rPr>
        <w:t xml:space="preserve"> ).</w:t>
      </w:r>
    </w:p>
    <w:p w14:paraId="5762254C" w14:textId="77777777" w:rsidR="00AE55A7" w:rsidRPr="00382FC7" w:rsidRDefault="00AE55A7" w:rsidP="00073EB8">
      <w:pPr>
        <w:rPr>
          <w:rFonts w:cstheme="minorHAnsi"/>
        </w:rPr>
      </w:pPr>
    </w:p>
    <w:p w14:paraId="6B3DB3B1" w14:textId="77777777" w:rsidR="00AE55A7" w:rsidRPr="00382FC7" w:rsidRDefault="00AE55A7" w:rsidP="00073EB8">
      <w:pPr>
        <w:numPr>
          <w:ilvl w:val="0"/>
          <w:numId w:val="18"/>
        </w:numPr>
        <w:rPr>
          <w:rFonts w:cstheme="minorHAnsi"/>
          <w:b/>
          <w:bCs/>
        </w:rPr>
      </w:pPr>
      <w:r w:rsidRPr="00382FC7">
        <w:rPr>
          <w:rFonts w:cstheme="minorHAnsi"/>
          <w:b/>
          <w:bCs/>
        </w:rPr>
        <w:t xml:space="preserve">Support Services:  </w:t>
      </w:r>
    </w:p>
    <w:p w14:paraId="39237A66" w14:textId="77777777" w:rsidR="00AE55A7" w:rsidRPr="00382FC7" w:rsidRDefault="00AE55A7" w:rsidP="00073EB8">
      <w:pPr>
        <w:ind w:left="390"/>
        <w:rPr>
          <w:rFonts w:cstheme="minorHAnsi"/>
        </w:rPr>
      </w:pPr>
    </w:p>
    <w:p w14:paraId="32526A0B" w14:textId="7AB9AB3F" w:rsidR="00AE55A7" w:rsidRPr="00382FC7" w:rsidRDefault="00AE55A7" w:rsidP="00356955">
      <w:pPr>
        <w:numPr>
          <w:ilvl w:val="0"/>
          <w:numId w:val="28"/>
        </w:numPr>
        <w:rPr>
          <w:rFonts w:cstheme="minorHAnsi"/>
        </w:rPr>
      </w:pPr>
      <w:r w:rsidRPr="00382FC7">
        <w:rPr>
          <w:rFonts w:cstheme="minorHAnsi"/>
        </w:rPr>
        <w:t xml:space="preserve">Huron’s Faculty of Theology, Office of the Dean: </w:t>
      </w:r>
      <w:hyperlink r:id="rId15" w:history="1">
        <w:r w:rsidRPr="00382FC7">
          <w:rPr>
            <w:rStyle w:val="Hyperlink"/>
            <w:rFonts w:cstheme="minorHAnsi"/>
            <w:color w:val="auto"/>
          </w:rPr>
          <w:t>http://www.huronuc.on.ca</w:t>
        </w:r>
      </w:hyperlink>
      <w:r w:rsidRPr="00382FC7">
        <w:rPr>
          <w:rFonts w:cstheme="minorHAnsi"/>
        </w:rPr>
        <w:t xml:space="preserve"> &gt; Theology </w:t>
      </w:r>
    </w:p>
    <w:p w14:paraId="02B334ED" w14:textId="16DB34E1" w:rsidR="00AE55A7" w:rsidRPr="00382FC7" w:rsidRDefault="00AE55A7" w:rsidP="00356955">
      <w:pPr>
        <w:numPr>
          <w:ilvl w:val="0"/>
          <w:numId w:val="28"/>
        </w:numPr>
        <w:rPr>
          <w:rFonts w:cstheme="minorHAnsi"/>
        </w:rPr>
      </w:pPr>
      <w:r w:rsidRPr="00382FC7">
        <w:rPr>
          <w:rFonts w:cstheme="minorHAnsi"/>
        </w:rPr>
        <w:t>Faculty of Theology office:  srice@uwo.ca, 519-438-7224, ext. 289</w:t>
      </w:r>
    </w:p>
    <w:p w14:paraId="599E4275" w14:textId="002E367C" w:rsidR="00AE55A7" w:rsidRPr="00382FC7" w:rsidRDefault="00AE55A7" w:rsidP="00356955">
      <w:pPr>
        <w:numPr>
          <w:ilvl w:val="0"/>
          <w:numId w:val="28"/>
        </w:numPr>
        <w:rPr>
          <w:rFonts w:cstheme="minorHAnsi"/>
        </w:rPr>
      </w:pPr>
      <w:r w:rsidRPr="00382FC7">
        <w:rPr>
          <w:rFonts w:cstheme="minorHAnsi"/>
        </w:rPr>
        <w:t>Bachelor’s Academic Advising at Huron: https://huronuc.ca/index.php/academic-advising</w:t>
      </w:r>
    </w:p>
    <w:p w14:paraId="1EF8A8F0" w14:textId="77777777" w:rsidR="00D02B0C" w:rsidRPr="00382FC7" w:rsidRDefault="00AE55A7" w:rsidP="00D02B0C">
      <w:pPr>
        <w:pStyle w:val="ListParagraph"/>
        <w:numPr>
          <w:ilvl w:val="0"/>
          <w:numId w:val="28"/>
        </w:numPr>
        <w:rPr>
          <w:rFonts w:asciiTheme="minorHAnsi" w:hAnsiTheme="minorHAnsi" w:cstheme="minorHAnsi"/>
        </w:rPr>
      </w:pPr>
      <w:r w:rsidRPr="00382FC7">
        <w:rPr>
          <w:rFonts w:asciiTheme="minorHAnsi" w:hAnsiTheme="minorHAnsi" w:cstheme="minorHAnsi"/>
        </w:rPr>
        <w:t>Huron’s Writing Skills Centre: http://www.huronuc.on.ca/student_life/writing_services</w:t>
      </w:r>
      <w:r w:rsidR="00D02B0C" w:rsidRPr="00382FC7">
        <w:rPr>
          <w:rFonts w:asciiTheme="minorHAnsi" w:hAnsiTheme="minorHAnsi" w:cstheme="minorHAnsi"/>
        </w:rPr>
        <w:t>.</w:t>
      </w:r>
      <w:r w:rsidR="00D02B0C" w:rsidRPr="00382FC7">
        <w:rPr>
          <w:rFonts w:asciiTheme="minorHAnsi" w:eastAsia="Times New Roman" w:hAnsiTheme="minorHAnsi" w:cstheme="minorHAnsi"/>
        </w:rPr>
        <w:t xml:space="preserve">   </w:t>
      </w:r>
    </w:p>
    <w:p w14:paraId="2F804D95" w14:textId="2BC9280E" w:rsidR="00AE55A7" w:rsidRPr="00382FC7" w:rsidRDefault="00D02B0C" w:rsidP="00D02B0C">
      <w:pPr>
        <w:pStyle w:val="ListParagraph"/>
        <w:numPr>
          <w:ilvl w:val="0"/>
          <w:numId w:val="28"/>
        </w:numPr>
        <w:rPr>
          <w:rFonts w:asciiTheme="minorHAnsi" w:hAnsiTheme="minorHAnsi" w:cstheme="minorHAnsi"/>
        </w:rPr>
      </w:pPr>
      <w:r w:rsidRPr="00382FC7">
        <w:rPr>
          <w:rFonts w:asciiTheme="minorHAnsi" w:eastAsia="Times New Roman" w:hAnsiTheme="minorHAnsi" w:cstheme="minorHAnsi"/>
        </w:rPr>
        <w:t>M</w:t>
      </w:r>
      <w:r w:rsidRPr="00382FC7">
        <w:rPr>
          <w:rFonts w:asciiTheme="minorHAnsi" w:eastAsia="Times New Roman" w:hAnsiTheme="minorHAnsi" w:cstheme="minorHAnsi"/>
          <w:lang w:val="en-US"/>
        </w:rPr>
        <w:t>e</w:t>
      </w:r>
      <w:proofErr w:type="spellStart"/>
      <w:r w:rsidRPr="00382FC7">
        <w:rPr>
          <w:rFonts w:asciiTheme="minorHAnsi" w:hAnsiTheme="minorHAnsi" w:cstheme="minorHAnsi"/>
        </w:rPr>
        <w:t>ntal</w:t>
      </w:r>
      <w:proofErr w:type="spellEnd"/>
      <w:r w:rsidRPr="00382FC7">
        <w:rPr>
          <w:rFonts w:asciiTheme="minorHAnsi" w:hAnsiTheme="minorHAnsi" w:cstheme="minorHAnsi"/>
        </w:rPr>
        <w:t xml:space="preserve"> </w:t>
      </w:r>
      <w:proofErr w:type="spellStart"/>
      <w:r w:rsidRPr="00382FC7">
        <w:rPr>
          <w:rFonts w:asciiTheme="minorHAnsi" w:hAnsiTheme="minorHAnsi" w:cstheme="minorHAnsi"/>
        </w:rPr>
        <w:t>Health@Western</w:t>
      </w:r>
      <w:proofErr w:type="spellEnd"/>
      <w:r w:rsidRPr="00382FC7">
        <w:rPr>
          <w:rFonts w:asciiTheme="minorHAnsi" w:hAnsiTheme="minorHAnsi" w:cstheme="minorHAnsi"/>
        </w:rPr>
        <w:t xml:space="preserve">:  </w:t>
      </w:r>
      <w:hyperlink r:id="rId16" w:history="1">
        <w:r w:rsidRPr="00382FC7">
          <w:rPr>
            <w:rFonts w:asciiTheme="minorHAnsi" w:hAnsiTheme="minorHAnsi" w:cstheme="minorHAnsi"/>
          </w:rPr>
          <w:t>http://www.uwo.ca/uwocom/mentalhealth/</w:t>
        </w:r>
      </w:hyperlink>
      <w:r w:rsidRPr="00382FC7">
        <w:rPr>
          <w:rFonts w:asciiTheme="minorHAnsi" w:hAnsiTheme="minorHAnsi" w:cstheme="minorHAnsi"/>
        </w:rPr>
        <w:t xml:space="preserve">  Students who are in emotional/mental distress should refer to this website for a complete list of options about how to obtain help.</w:t>
      </w:r>
    </w:p>
    <w:p w14:paraId="682D101D" w14:textId="77777777" w:rsidR="00AE55A7" w:rsidRPr="00382FC7" w:rsidRDefault="00AE55A7" w:rsidP="00356955">
      <w:pPr>
        <w:pStyle w:val="ListParagraph"/>
        <w:numPr>
          <w:ilvl w:val="0"/>
          <w:numId w:val="28"/>
        </w:numPr>
        <w:rPr>
          <w:rFonts w:asciiTheme="minorHAnsi" w:eastAsia="Times New Roman" w:hAnsiTheme="minorHAnsi" w:cstheme="minorHAnsi"/>
          <w:lang w:val="en-US"/>
        </w:rPr>
      </w:pPr>
      <w:r w:rsidRPr="00382FC7">
        <w:rPr>
          <w:rFonts w:asciiTheme="minorHAnsi" w:eastAsia="Times New Roman" w:hAnsiTheme="minorHAnsi" w:cstheme="minorHAnsi"/>
          <w:lang w:val="en-US"/>
        </w:rPr>
        <w:t>Student Accessibility Services</w:t>
      </w:r>
    </w:p>
    <w:p w14:paraId="23D01136" w14:textId="77777777" w:rsidR="00AE55A7" w:rsidRPr="00382FC7" w:rsidRDefault="00AE55A7" w:rsidP="00356955">
      <w:pPr>
        <w:pStyle w:val="ListParagraph"/>
        <w:numPr>
          <w:ilvl w:val="1"/>
          <w:numId w:val="28"/>
        </w:numPr>
        <w:rPr>
          <w:rFonts w:asciiTheme="minorHAnsi" w:eastAsia="Times New Roman" w:hAnsiTheme="minorHAnsi" w:cstheme="minorHAnsi"/>
          <w:lang w:val="en-US"/>
        </w:rPr>
      </w:pPr>
      <w:r w:rsidRPr="00382FC7">
        <w:rPr>
          <w:rFonts w:asciiTheme="minorHAnsi" w:eastAsia="Times New Roman" w:hAnsiTheme="minorHAnsi" w:cstheme="minorHAnsi"/>
          <w:lang w:val="en-US"/>
        </w:rPr>
        <w:t>Western is committed to achieving barrier-free accessibility for all its members, including graduate students. As part of this commitment, Western provides a variety of services devoted to promoting, advocating, and accommodating persons with disabilities in their respective graduate program.</w:t>
      </w:r>
    </w:p>
    <w:p w14:paraId="003114F2" w14:textId="77777777" w:rsidR="00AE55A7" w:rsidRPr="00382FC7" w:rsidRDefault="00AE55A7" w:rsidP="00073EB8">
      <w:pPr>
        <w:pStyle w:val="ListParagraph"/>
        <w:rPr>
          <w:rFonts w:asciiTheme="minorHAnsi" w:eastAsia="Times New Roman" w:hAnsiTheme="minorHAnsi" w:cstheme="minorHAnsi"/>
          <w:lang w:val="en-US"/>
        </w:rPr>
      </w:pPr>
    </w:p>
    <w:p w14:paraId="75FD3099" w14:textId="77777777" w:rsidR="00AE55A7" w:rsidRPr="00382FC7" w:rsidRDefault="00AE55A7" w:rsidP="00356955">
      <w:pPr>
        <w:pStyle w:val="ListParagraph"/>
        <w:numPr>
          <w:ilvl w:val="1"/>
          <w:numId w:val="28"/>
        </w:numPr>
        <w:rPr>
          <w:rFonts w:asciiTheme="minorHAnsi" w:eastAsia="Times New Roman" w:hAnsiTheme="minorHAnsi" w:cstheme="minorHAnsi"/>
          <w:lang w:val="en-US"/>
        </w:rPr>
      </w:pPr>
      <w:r w:rsidRPr="00382FC7">
        <w:rPr>
          <w:rFonts w:asciiTheme="minorHAnsi" w:eastAsia="Times New Roman" w:hAnsiTheme="minorHAnsi" w:cstheme="minorHAnsi"/>
          <w:lang w:val="en-US"/>
        </w:rPr>
        <w:t xml:space="preserve">Students with disabilities (for example, chronic illnesses, mental health conditions, mobility impairments) are encouraged to register with Student Accessibility Services, a confidential service designed to support graduate and undergraduate students through their academic program. With the appropriate documentation, the student will work </w:t>
      </w:r>
      <w:r w:rsidRPr="00382FC7">
        <w:rPr>
          <w:rFonts w:asciiTheme="minorHAnsi" w:eastAsia="Times New Roman" w:hAnsiTheme="minorHAnsi" w:cstheme="minorHAnsi"/>
          <w:lang w:val="en-US"/>
        </w:rPr>
        <w:lastRenderedPageBreak/>
        <w:t xml:space="preserve">with both SAS and their faculty (normally their Dean and/or Course instructor) to ensure that appropriate academic accommodations to program requirements are arranged.  </w:t>
      </w:r>
    </w:p>
    <w:p w14:paraId="2A818086" w14:textId="77777777" w:rsidR="00AE55A7" w:rsidRPr="00382FC7" w:rsidRDefault="00AE55A7" w:rsidP="00D02B0C">
      <w:pPr>
        <w:pStyle w:val="ListParagraph"/>
        <w:numPr>
          <w:ilvl w:val="0"/>
          <w:numId w:val="29"/>
        </w:numPr>
        <w:rPr>
          <w:rFonts w:asciiTheme="minorHAnsi" w:hAnsiTheme="minorHAnsi" w:cstheme="minorHAnsi"/>
        </w:rPr>
      </w:pPr>
      <w:r w:rsidRPr="00382FC7">
        <w:rPr>
          <w:rFonts w:asciiTheme="minorHAnsi" w:hAnsiTheme="minorHAnsi" w:cstheme="minorHAnsi"/>
        </w:rPr>
        <w:t>Services provided by Western University Student Council:  http://westernusc.ca/your-services/</w:t>
      </w:r>
    </w:p>
    <w:p w14:paraId="4FCD4D36" w14:textId="77777777" w:rsidR="00AE55A7" w:rsidRPr="00382FC7" w:rsidRDefault="00AE55A7" w:rsidP="00C8310F">
      <w:pPr>
        <w:rPr>
          <w:rFonts w:cstheme="minorHAnsi"/>
        </w:rPr>
      </w:pPr>
    </w:p>
    <w:p w14:paraId="1217E4FD" w14:textId="77777777" w:rsidR="00AE55A7" w:rsidRPr="00382FC7" w:rsidRDefault="00AE55A7" w:rsidP="00073EB8">
      <w:pPr>
        <w:numPr>
          <w:ilvl w:val="0"/>
          <w:numId w:val="18"/>
        </w:numPr>
        <w:autoSpaceDE w:val="0"/>
        <w:autoSpaceDN w:val="0"/>
        <w:adjustRightInd w:val="0"/>
        <w:rPr>
          <w:rFonts w:cstheme="minorHAnsi"/>
          <w:b/>
        </w:rPr>
      </w:pPr>
      <w:r w:rsidRPr="00382FC7">
        <w:rPr>
          <w:rFonts w:cstheme="minorHAnsi"/>
          <w:b/>
        </w:rPr>
        <w:t>Academic Accommodation for Absences:</w:t>
      </w:r>
    </w:p>
    <w:p w14:paraId="39B8859E" w14:textId="77777777" w:rsidR="00AE55A7" w:rsidRPr="00382FC7" w:rsidRDefault="00AE55A7" w:rsidP="00073EB8">
      <w:pPr>
        <w:autoSpaceDE w:val="0"/>
        <w:autoSpaceDN w:val="0"/>
        <w:adjustRightInd w:val="0"/>
        <w:ind w:left="720"/>
        <w:rPr>
          <w:rFonts w:cstheme="minorHAnsi"/>
          <w:i/>
        </w:rPr>
      </w:pPr>
      <w:r w:rsidRPr="00382FC7">
        <w:rPr>
          <w:rFonts w:cstheme="minorHAnsi"/>
          <w:i/>
        </w:rPr>
        <w:t>New pilot policy, as of September 1, 2019 (</w:t>
      </w:r>
      <w:hyperlink r:id="rId17" w:history="1">
        <w:r w:rsidRPr="00382FC7">
          <w:rPr>
            <w:rFonts w:cstheme="minorHAnsi"/>
            <w:i/>
          </w:rPr>
          <w:t>complete details here</w:t>
        </w:r>
      </w:hyperlink>
      <w:r w:rsidRPr="00382FC7">
        <w:rPr>
          <w:rFonts w:cstheme="minorHAnsi"/>
          <w:i/>
        </w:rPr>
        <w:t>)</w:t>
      </w:r>
      <w:r w:rsidRPr="00382FC7">
        <w:rPr>
          <w:rFonts w:cstheme="minorHAnsi"/>
          <w:i/>
        </w:rPr>
        <w:br/>
        <w:t xml:space="preserve">Student Medical Certificate can be found here, if required:   </w:t>
      </w:r>
      <w:r w:rsidRPr="00382FC7">
        <w:rPr>
          <w:rFonts w:cstheme="minorHAnsi"/>
          <w:i/>
        </w:rPr>
        <w:br/>
        <w:t xml:space="preserve">        https://www.uwo.ca/univsec/pdf/academic_policies/appeals/medicalform.pdf </w:t>
      </w:r>
    </w:p>
    <w:p w14:paraId="76EAD1B7" w14:textId="77777777" w:rsidR="00AE55A7" w:rsidRPr="00382FC7" w:rsidRDefault="00AE55A7" w:rsidP="00073EB8">
      <w:pPr>
        <w:autoSpaceDE w:val="0"/>
        <w:autoSpaceDN w:val="0"/>
        <w:adjustRightInd w:val="0"/>
        <w:ind w:left="390"/>
        <w:rPr>
          <w:rFonts w:cstheme="minorHAnsi"/>
          <w:i/>
        </w:rPr>
      </w:pPr>
    </w:p>
    <w:p w14:paraId="297C5916" w14:textId="77777777" w:rsidR="00AE55A7" w:rsidRPr="00382FC7" w:rsidRDefault="00AE55A7" w:rsidP="00073EB8">
      <w:pPr>
        <w:autoSpaceDE w:val="0"/>
        <w:autoSpaceDN w:val="0"/>
        <w:adjustRightInd w:val="0"/>
        <w:ind w:left="390"/>
        <w:rPr>
          <w:rFonts w:cstheme="minorHAnsi"/>
        </w:rPr>
      </w:pPr>
      <w:r w:rsidRPr="00382FC7">
        <w:rPr>
          <w:rFonts w:cstheme="minorHAnsi"/>
        </w:rPr>
        <w:t xml:space="preserve">Students who experience an extenuating circumstance (illness, injury, or other extenuating circumstance) sufficiently significant to temporarily render them unable to meet academic requirements may submit a request for academic consideration through the following routes: </w:t>
      </w:r>
    </w:p>
    <w:p w14:paraId="2272615C" w14:textId="77777777" w:rsidR="00AE55A7" w:rsidRPr="00382FC7" w:rsidRDefault="00AE55A7" w:rsidP="00073EB8">
      <w:pPr>
        <w:autoSpaceDE w:val="0"/>
        <w:autoSpaceDN w:val="0"/>
        <w:adjustRightInd w:val="0"/>
        <w:ind w:left="390"/>
        <w:rPr>
          <w:rFonts w:cstheme="minorHAnsi"/>
        </w:rPr>
      </w:pPr>
    </w:p>
    <w:p w14:paraId="190DBB06" w14:textId="77777777" w:rsidR="00AE55A7" w:rsidRPr="00382FC7" w:rsidRDefault="00AE55A7" w:rsidP="00073EB8">
      <w:pPr>
        <w:numPr>
          <w:ilvl w:val="0"/>
          <w:numId w:val="21"/>
        </w:numPr>
        <w:tabs>
          <w:tab w:val="left" w:pos="851"/>
        </w:tabs>
        <w:autoSpaceDE w:val="0"/>
        <w:autoSpaceDN w:val="0"/>
        <w:adjustRightInd w:val="0"/>
        <w:ind w:left="851" w:hanging="425"/>
        <w:rPr>
          <w:rFonts w:cstheme="minorHAnsi"/>
        </w:rPr>
      </w:pPr>
      <w:r w:rsidRPr="00382FC7">
        <w:rPr>
          <w:rFonts w:cstheme="minorHAnsi"/>
          <w:b/>
        </w:rPr>
        <w:t>Submitting a Self-Reported Absence form</w:t>
      </w:r>
      <w:r w:rsidRPr="00382FC7">
        <w:rPr>
          <w:rFonts w:cstheme="minorHAnsi"/>
        </w:rPr>
        <w:t xml:space="preserve"> provided that the conditions for submission are Met (see below);</w:t>
      </w:r>
    </w:p>
    <w:p w14:paraId="3ECC9C49" w14:textId="77777777" w:rsidR="00AE55A7" w:rsidRPr="00382FC7" w:rsidRDefault="00AE55A7" w:rsidP="00073EB8">
      <w:pPr>
        <w:numPr>
          <w:ilvl w:val="0"/>
          <w:numId w:val="21"/>
        </w:numPr>
        <w:tabs>
          <w:tab w:val="left" w:pos="851"/>
        </w:tabs>
        <w:autoSpaceDE w:val="0"/>
        <w:autoSpaceDN w:val="0"/>
        <w:adjustRightInd w:val="0"/>
        <w:ind w:left="851" w:hanging="425"/>
        <w:rPr>
          <w:rFonts w:cstheme="minorHAnsi"/>
        </w:rPr>
      </w:pPr>
      <w:r w:rsidRPr="00382FC7">
        <w:rPr>
          <w:rFonts w:cstheme="minorHAnsi"/>
          <w:b/>
        </w:rPr>
        <w:t>For medical absences, submitting a Student Medical Certificate (SMC)</w:t>
      </w:r>
      <w:r w:rsidRPr="00382FC7">
        <w:rPr>
          <w:rFonts w:cstheme="minorHAnsi"/>
        </w:rPr>
        <w:t xml:space="preserve">, signed by a licensed medical or mental health practitioner in order to be eligible for Academic Consideration (for instance, when a Self-Report is not possible:  any assignment worth more than 30%, final exams, or December mid-terms during exam schedule); or </w:t>
      </w:r>
    </w:p>
    <w:p w14:paraId="4A9484D2" w14:textId="77777777" w:rsidR="00AE55A7" w:rsidRPr="00382FC7" w:rsidRDefault="00AE55A7" w:rsidP="00073EB8">
      <w:pPr>
        <w:numPr>
          <w:ilvl w:val="0"/>
          <w:numId w:val="21"/>
        </w:numPr>
        <w:tabs>
          <w:tab w:val="left" w:pos="851"/>
        </w:tabs>
        <w:autoSpaceDE w:val="0"/>
        <w:autoSpaceDN w:val="0"/>
        <w:adjustRightInd w:val="0"/>
        <w:ind w:left="851" w:hanging="425"/>
        <w:rPr>
          <w:rFonts w:cstheme="minorHAnsi"/>
        </w:rPr>
      </w:pPr>
      <w:r w:rsidRPr="00382FC7">
        <w:rPr>
          <w:rFonts w:cstheme="minorHAnsi"/>
          <w:b/>
        </w:rPr>
        <w:t>For non-medical absences</w:t>
      </w:r>
      <w:r w:rsidRPr="00382FC7">
        <w:rPr>
          <w:rFonts w:cstheme="minorHAnsi"/>
        </w:rPr>
        <w:t>, submitting appropriate documentation (e.g., obituary, police report, accident report, court order, etc.) to Academic Counselling in their Faculty of registration in order to be eligible for academic consideration. Students are encouraged to contact their Academic Counselling unit to clarify what documentation is appropriate.</w:t>
      </w:r>
    </w:p>
    <w:p w14:paraId="3EB84022" w14:textId="77777777" w:rsidR="00AE55A7" w:rsidRPr="00382FC7" w:rsidRDefault="00AE55A7" w:rsidP="00073EB8">
      <w:pPr>
        <w:autoSpaceDE w:val="0"/>
        <w:autoSpaceDN w:val="0"/>
        <w:adjustRightInd w:val="0"/>
        <w:ind w:left="390"/>
        <w:rPr>
          <w:rFonts w:cstheme="minorHAnsi"/>
        </w:rPr>
      </w:pPr>
    </w:p>
    <w:p w14:paraId="3D813C02" w14:textId="77777777" w:rsidR="00AE55A7" w:rsidRPr="00382FC7" w:rsidRDefault="00AE55A7" w:rsidP="00073EB8">
      <w:pPr>
        <w:autoSpaceDE w:val="0"/>
        <w:autoSpaceDN w:val="0"/>
        <w:adjustRightInd w:val="0"/>
        <w:ind w:left="390"/>
        <w:rPr>
          <w:rFonts w:cstheme="minorHAnsi"/>
        </w:rPr>
      </w:pPr>
      <w:r w:rsidRPr="00382FC7">
        <w:rPr>
          <w:rFonts w:cstheme="minorHAnsi"/>
        </w:rPr>
        <w:t xml:space="preserve">Any documentation required must be submitted by the student directly to your Faculty’s Dean’s office (or academic counselor), and not to the instructor. For students of the Faculty of Theology, all such documentation must be submitted to room A227.  It will be the Dean`s office that will determine if accommodation is warranted.  </w:t>
      </w:r>
    </w:p>
    <w:p w14:paraId="57EA5206" w14:textId="77777777" w:rsidR="00AE55A7" w:rsidRPr="00382FC7" w:rsidRDefault="00AE55A7" w:rsidP="00073EB8">
      <w:pPr>
        <w:autoSpaceDE w:val="0"/>
        <w:autoSpaceDN w:val="0"/>
        <w:adjustRightInd w:val="0"/>
        <w:rPr>
          <w:rFonts w:cstheme="minorHAnsi"/>
        </w:rPr>
      </w:pPr>
    </w:p>
    <w:p w14:paraId="5359891E" w14:textId="77777777" w:rsidR="00AE55A7" w:rsidRPr="00382FC7" w:rsidRDefault="00AE55A7" w:rsidP="00073EB8">
      <w:pPr>
        <w:autoSpaceDE w:val="0"/>
        <w:autoSpaceDN w:val="0"/>
        <w:adjustRightInd w:val="0"/>
        <w:ind w:left="390"/>
        <w:rPr>
          <w:rFonts w:cstheme="minorHAnsi"/>
          <w:b/>
        </w:rPr>
      </w:pPr>
      <w:r w:rsidRPr="00382FC7">
        <w:rPr>
          <w:rFonts w:cstheme="minorHAnsi"/>
          <w:b/>
        </w:rPr>
        <w:t>Further Details about Requests for Academic Consideration Self-Reported Absence Form</w:t>
      </w:r>
    </w:p>
    <w:p w14:paraId="2CEE350B" w14:textId="77777777" w:rsidR="00AE55A7" w:rsidRPr="00382FC7" w:rsidRDefault="00AE55A7" w:rsidP="00073EB8">
      <w:pPr>
        <w:autoSpaceDE w:val="0"/>
        <w:autoSpaceDN w:val="0"/>
        <w:adjustRightInd w:val="0"/>
        <w:ind w:left="390"/>
        <w:rPr>
          <w:rFonts w:cstheme="minorHAnsi"/>
          <w:b/>
        </w:rPr>
      </w:pPr>
    </w:p>
    <w:p w14:paraId="4975A51D" w14:textId="77777777" w:rsidR="00AE55A7" w:rsidRPr="00382FC7" w:rsidRDefault="00AE55A7" w:rsidP="00073EB8">
      <w:pPr>
        <w:autoSpaceDE w:val="0"/>
        <w:autoSpaceDN w:val="0"/>
        <w:adjustRightInd w:val="0"/>
        <w:ind w:left="390"/>
        <w:rPr>
          <w:rFonts w:cstheme="minorHAnsi"/>
        </w:rPr>
      </w:pPr>
      <w:r w:rsidRPr="00382FC7">
        <w:rPr>
          <w:rFonts w:cstheme="minorHAnsi"/>
        </w:rPr>
        <w:t xml:space="preserve">The full Policy on Academic Consideration for student absences is available at: </w:t>
      </w:r>
    </w:p>
    <w:p w14:paraId="414C1344" w14:textId="77777777" w:rsidR="00AE55A7" w:rsidRPr="00382FC7" w:rsidRDefault="00BB48BF" w:rsidP="00073EB8">
      <w:pPr>
        <w:autoSpaceDE w:val="0"/>
        <w:autoSpaceDN w:val="0"/>
        <w:adjustRightInd w:val="0"/>
        <w:ind w:left="390"/>
        <w:rPr>
          <w:rFonts w:cstheme="minorHAnsi"/>
        </w:rPr>
      </w:pPr>
      <w:hyperlink r:id="rId18" w:history="1">
        <w:r w:rsidR="00AE55A7" w:rsidRPr="00382FC7">
          <w:rPr>
            <w:rStyle w:val="Hyperlink"/>
            <w:rFonts w:cstheme="minorHAnsi"/>
            <w:color w:val="auto"/>
          </w:rPr>
          <w:t>https://www.uwo.ca/univsec/pdf/academic_policies/appeals/Academic_Consideration_for_absences.pdf</w:t>
        </w:r>
      </w:hyperlink>
      <w:r w:rsidR="00AE55A7" w:rsidRPr="00382FC7">
        <w:rPr>
          <w:rFonts w:cstheme="minorHAnsi"/>
        </w:rPr>
        <w:t xml:space="preserve"> .</w:t>
      </w:r>
    </w:p>
    <w:p w14:paraId="1E8BE75B" w14:textId="77777777" w:rsidR="00AE55A7" w:rsidRPr="00382FC7" w:rsidRDefault="00AE55A7" w:rsidP="00073EB8">
      <w:pPr>
        <w:autoSpaceDE w:val="0"/>
        <w:autoSpaceDN w:val="0"/>
        <w:adjustRightInd w:val="0"/>
        <w:ind w:left="390"/>
        <w:rPr>
          <w:rFonts w:cstheme="minorHAnsi"/>
        </w:rPr>
      </w:pPr>
    </w:p>
    <w:p w14:paraId="783744C1" w14:textId="77777777" w:rsidR="00AE55A7" w:rsidRPr="00382FC7" w:rsidRDefault="00AE55A7" w:rsidP="00073EB8">
      <w:pPr>
        <w:autoSpaceDE w:val="0"/>
        <w:autoSpaceDN w:val="0"/>
        <w:adjustRightInd w:val="0"/>
        <w:ind w:left="390"/>
        <w:rPr>
          <w:rFonts w:cstheme="minorHAnsi"/>
        </w:rPr>
      </w:pPr>
      <w:r w:rsidRPr="00382FC7">
        <w:rPr>
          <w:rFonts w:cstheme="minorHAnsi"/>
        </w:rPr>
        <w:t xml:space="preserve">Students who experience an unexpected illness or injury or an extenuating circumstance (48 </w:t>
      </w:r>
    </w:p>
    <w:p w14:paraId="7B5590E1" w14:textId="77777777" w:rsidR="00AE55A7" w:rsidRPr="00382FC7" w:rsidRDefault="00AE55A7" w:rsidP="00073EB8">
      <w:pPr>
        <w:autoSpaceDE w:val="0"/>
        <w:autoSpaceDN w:val="0"/>
        <w:adjustRightInd w:val="0"/>
        <w:ind w:left="390"/>
        <w:rPr>
          <w:rFonts w:cstheme="minorHAnsi"/>
        </w:rPr>
      </w:pPr>
      <w:r w:rsidRPr="00382FC7">
        <w:rPr>
          <w:rFonts w:cstheme="minorHAnsi"/>
        </w:rPr>
        <w:t>hours or less) that is sufficiently severe to temporarily render them unable to meet academic requirements (e.g., attending lectures or labs, writing tests or midterm exams, completing and submitting assignments, participating in presentations) should self-declare using the online Self-</w:t>
      </w:r>
    </w:p>
    <w:p w14:paraId="1CA3EFD1" w14:textId="77777777" w:rsidR="00AE55A7" w:rsidRPr="00382FC7" w:rsidRDefault="00AE55A7" w:rsidP="00073EB8">
      <w:pPr>
        <w:autoSpaceDE w:val="0"/>
        <w:autoSpaceDN w:val="0"/>
        <w:adjustRightInd w:val="0"/>
        <w:ind w:left="390"/>
        <w:rPr>
          <w:rFonts w:cstheme="minorHAnsi"/>
        </w:rPr>
      </w:pPr>
      <w:r w:rsidRPr="00382FC7">
        <w:rPr>
          <w:rFonts w:cstheme="minorHAnsi"/>
        </w:rPr>
        <w:t xml:space="preserve">Reported Absence portal.  This option should be used in situations where the student expects to resume academic responsibilities within 48 hours or less. </w:t>
      </w:r>
    </w:p>
    <w:p w14:paraId="5833E3F0" w14:textId="77777777" w:rsidR="00AE55A7" w:rsidRPr="00382FC7" w:rsidRDefault="00AE55A7" w:rsidP="00073EB8">
      <w:pPr>
        <w:autoSpaceDE w:val="0"/>
        <w:autoSpaceDN w:val="0"/>
        <w:adjustRightInd w:val="0"/>
        <w:ind w:left="390"/>
        <w:rPr>
          <w:rFonts w:cstheme="minorHAnsi"/>
        </w:rPr>
      </w:pPr>
    </w:p>
    <w:p w14:paraId="59BC652C" w14:textId="77777777" w:rsidR="00AE55A7" w:rsidRPr="00382FC7" w:rsidRDefault="00AE55A7" w:rsidP="00073EB8">
      <w:pPr>
        <w:autoSpaceDE w:val="0"/>
        <w:autoSpaceDN w:val="0"/>
        <w:adjustRightInd w:val="0"/>
        <w:ind w:left="390"/>
        <w:rPr>
          <w:rFonts w:cstheme="minorHAnsi"/>
        </w:rPr>
      </w:pPr>
      <w:r w:rsidRPr="00382FC7">
        <w:rPr>
          <w:rFonts w:cstheme="minorHAnsi"/>
        </w:rPr>
        <w:t xml:space="preserve">The following conditions are in place for self-reporting of medical or extenuating circumstances: </w:t>
      </w:r>
    </w:p>
    <w:p w14:paraId="2B8233E9" w14:textId="77777777" w:rsidR="00AE55A7" w:rsidRPr="00382FC7" w:rsidRDefault="00AE55A7" w:rsidP="00073EB8">
      <w:pPr>
        <w:autoSpaceDE w:val="0"/>
        <w:autoSpaceDN w:val="0"/>
        <w:adjustRightInd w:val="0"/>
        <w:ind w:left="390"/>
        <w:rPr>
          <w:rFonts w:cstheme="minorHAnsi"/>
        </w:rPr>
      </w:pPr>
    </w:p>
    <w:p w14:paraId="3D0E2CD7" w14:textId="77777777" w:rsidR="00AE55A7" w:rsidRPr="00382FC7" w:rsidRDefault="00AE55A7" w:rsidP="00073EB8">
      <w:pPr>
        <w:numPr>
          <w:ilvl w:val="0"/>
          <w:numId w:val="22"/>
        </w:numPr>
        <w:autoSpaceDE w:val="0"/>
        <w:autoSpaceDN w:val="0"/>
        <w:adjustRightInd w:val="0"/>
        <w:ind w:left="709" w:hanging="283"/>
        <w:rPr>
          <w:rFonts w:cstheme="minorHAnsi"/>
        </w:rPr>
      </w:pPr>
      <w:r w:rsidRPr="00382FC7">
        <w:rPr>
          <w:rFonts w:cstheme="minorHAnsi"/>
        </w:rPr>
        <w:t>students will be allowed a maximum of two self-reported absences between September and April and one self-reported absence between May and August</w:t>
      </w:r>
    </w:p>
    <w:p w14:paraId="63DAFA9C" w14:textId="77777777" w:rsidR="00AE55A7" w:rsidRPr="00382FC7" w:rsidRDefault="00AE55A7" w:rsidP="00073EB8">
      <w:pPr>
        <w:autoSpaceDE w:val="0"/>
        <w:autoSpaceDN w:val="0"/>
        <w:adjustRightInd w:val="0"/>
        <w:ind w:left="851" w:hanging="425"/>
        <w:rPr>
          <w:rFonts w:cstheme="minorHAnsi"/>
        </w:rPr>
      </w:pPr>
    </w:p>
    <w:p w14:paraId="62CD2FF3" w14:textId="77777777" w:rsidR="00AE55A7" w:rsidRPr="00382FC7" w:rsidRDefault="00AE55A7" w:rsidP="00073EB8">
      <w:pPr>
        <w:numPr>
          <w:ilvl w:val="0"/>
          <w:numId w:val="22"/>
        </w:numPr>
        <w:autoSpaceDE w:val="0"/>
        <w:autoSpaceDN w:val="0"/>
        <w:adjustRightInd w:val="0"/>
        <w:ind w:left="709" w:hanging="283"/>
        <w:rPr>
          <w:rFonts w:cstheme="minorHAnsi"/>
        </w:rPr>
      </w:pPr>
      <w:r w:rsidRPr="00382FC7">
        <w:rPr>
          <w:rFonts w:cstheme="minorHAnsi"/>
        </w:rPr>
        <w:t xml:space="preserve">any absences in excess of the number designated in clause </w:t>
      </w:r>
      <w:proofErr w:type="gramStart"/>
      <w:r w:rsidRPr="00382FC7">
        <w:rPr>
          <w:rFonts w:cstheme="minorHAnsi"/>
        </w:rPr>
        <w:t>a</w:t>
      </w:r>
      <w:proofErr w:type="gramEnd"/>
      <w:r w:rsidRPr="00382FC7">
        <w:rPr>
          <w:rFonts w:cstheme="minorHAnsi"/>
        </w:rPr>
        <w:t xml:space="preserve"> above, regardless of duration, will require students to present a Student Medical Certificate (SMC), signed by a licensed medical or </w:t>
      </w:r>
      <w:r w:rsidRPr="00382FC7">
        <w:rPr>
          <w:rFonts w:cstheme="minorHAnsi"/>
        </w:rPr>
        <w:lastRenderedPageBreak/>
        <w:t>mental health practitioner, detailing the duration and severity of illness, or appropriate documentation supporting extenuating circumstances to the Academic Counselling unit in their Faculty of registration no later than two business days after the date specified for resuming responsibilities.</w:t>
      </w:r>
    </w:p>
    <w:p w14:paraId="74B57216" w14:textId="77777777" w:rsidR="00AE55A7" w:rsidRPr="00382FC7" w:rsidRDefault="00AE55A7" w:rsidP="00073EB8">
      <w:pPr>
        <w:autoSpaceDE w:val="0"/>
        <w:autoSpaceDN w:val="0"/>
        <w:adjustRightInd w:val="0"/>
        <w:ind w:left="425" w:hanging="425"/>
        <w:rPr>
          <w:rFonts w:cstheme="minorHAnsi"/>
        </w:rPr>
      </w:pPr>
    </w:p>
    <w:p w14:paraId="6FE6BD03" w14:textId="77777777" w:rsidR="00AE55A7" w:rsidRPr="00382FC7" w:rsidRDefault="00AE55A7" w:rsidP="00073EB8">
      <w:pPr>
        <w:numPr>
          <w:ilvl w:val="0"/>
          <w:numId w:val="22"/>
        </w:numPr>
        <w:autoSpaceDE w:val="0"/>
        <w:autoSpaceDN w:val="0"/>
        <w:adjustRightInd w:val="0"/>
        <w:ind w:left="709" w:hanging="283"/>
        <w:rPr>
          <w:rFonts w:cstheme="minorHAnsi"/>
        </w:rPr>
      </w:pPr>
      <w:r w:rsidRPr="00382FC7">
        <w:rPr>
          <w:rFonts w:cstheme="minorHAnsi"/>
        </w:rPr>
        <w:t>The duration of the excused absence will be for a maximum of 48 hours from the time the Self-Reported Absence form is completed through the online portal, or from 8:30 am the following morning if the form is submitted after 4:30 pm;</w:t>
      </w:r>
    </w:p>
    <w:p w14:paraId="01EE0239" w14:textId="77777777" w:rsidR="00AE55A7" w:rsidRPr="00382FC7" w:rsidRDefault="00AE55A7" w:rsidP="00073EB8">
      <w:pPr>
        <w:pStyle w:val="ListParagraph"/>
        <w:rPr>
          <w:rFonts w:asciiTheme="minorHAnsi" w:hAnsiTheme="minorHAnsi" w:cstheme="minorHAnsi"/>
        </w:rPr>
      </w:pPr>
    </w:p>
    <w:p w14:paraId="22D7E800" w14:textId="77777777" w:rsidR="00AE55A7" w:rsidRPr="00382FC7" w:rsidRDefault="00AE55A7" w:rsidP="00073EB8">
      <w:pPr>
        <w:numPr>
          <w:ilvl w:val="0"/>
          <w:numId w:val="22"/>
        </w:numPr>
        <w:autoSpaceDE w:val="0"/>
        <w:autoSpaceDN w:val="0"/>
        <w:adjustRightInd w:val="0"/>
        <w:ind w:left="709" w:hanging="283"/>
        <w:rPr>
          <w:rFonts w:cstheme="minorHAnsi"/>
        </w:rPr>
      </w:pPr>
      <w:r w:rsidRPr="00382FC7">
        <w:rPr>
          <w:rFonts w:cstheme="minorHAnsi"/>
        </w:rPr>
        <w:t>The duration of the excused absence will terminate prior to the end of the 48-hour period should the student undertake significant academic responsibilities (write a test, submit a paper) during that time;</w:t>
      </w:r>
    </w:p>
    <w:p w14:paraId="4FEC10AF" w14:textId="77777777" w:rsidR="00AE55A7" w:rsidRPr="00382FC7" w:rsidRDefault="00AE55A7" w:rsidP="00073EB8">
      <w:pPr>
        <w:pStyle w:val="ListParagraph"/>
        <w:rPr>
          <w:rFonts w:asciiTheme="minorHAnsi" w:hAnsiTheme="minorHAnsi" w:cstheme="minorHAnsi"/>
        </w:rPr>
      </w:pPr>
    </w:p>
    <w:p w14:paraId="2E48DB66" w14:textId="77777777" w:rsidR="00AE55A7" w:rsidRPr="00382FC7" w:rsidRDefault="00AE55A7" w:rsidP="00073EB8">
      <w:pPr>
        <w:numPr>
          <w:ilvl w:val="0"/>
          <w:numId w:val="22"/>
        </w:numPr>
        <w:autoSpaceDE w:val="0"/>
        <w:autoSpaceDN w:val="0"/>
        <w:adjustRightInd w:val="0"/>
        <w:ind w:left="709" w:hanging="283"/>
        <w:rPr>
          <w:rFonts w:cstheme="minorHAnsi"/>
        </w:rPr>
      </w:pPr>
      <w:r w:rsidRPr="00382FC7">
        <w:rPr>
          <w:rFonts w:cstheme="minorHAnsi"/>
        </w:rPr>
        <w:t>The duration of an excused absence will terminate at 8:30 am on the day following the last day of classes each semester regardless of how many days of absence have elapsed;</w:t>
      </w:r>
    </w:p>
    <w:p w14:paraId="3C159905" w14:textId="77777777" w:rsidR="00AE55A7" w:rsidRPr="00382FC7" w:rsidRDefault="00AE55A7" w:rsidP="00073EB8">
      <w:pPr>
        <w:autoSpaceDE w:val="0"/>
        <w:autoSpaceDN w:val="0"/>
        <w:adjustRightInd w:val="0"/>
        <w:ind w:left="884"/>
        <w:rPr>
          <w:rFonts w:cstheme="minorHAnsi"/>
        </w:rPr>
      </w:pPr>
    </w:p>
    <w:p w14:paraId="239C1ACD" w14:textId="77777777" w:rsidR="00AE55A7" w:rsidRPr="00382FC7" w:rsidRDefault="00AE55A7" w:rsidP="00073EB8">
      <w:pPr>
        <w:numPr>
          <w:ilvl w:val="0"/>
          <w:numId w:val="22"/>
        </w:numPr>
        <w:autoSpaceDE w:val="0"/>
        <w:autoSpaceDN w:val="0"/>
        <w:adjustRightInd w:val="0"/>
        <w:ind w:left="709" w:hanging="283"/>
        <w:rPr>
          <w:rFonts w:cstheme="minorHAnsi"/>
        </w:rPr>
      </w:pPr>
      <w:r w:rsidRPr="00382FC7">
        <w:rPr>
          <w:rFonts w:cstheme="minorHAnsi"/>
        </w:rPr>
        <w:t>Self-reported absences will not be allowed for scheduled final examinations; for midterm examinations scheduled during the December examination period; or for final lab examinations scheduled during the final week of term;</w:t>
      </w:r>
    </w:p>
    <w:p w14:paraId="36BCF6FA" w14:textId="77777777" w:rsidR="00AE55A7" w:rsidRPr="00382FC7" w:rsidRDefault="00AE55A7" w:rsidP="00073EB8">
      <w:pPr>
        <w:pStyle w:val="ListParagraph"/>
        <w:ind w:left="360"/>
        <w:rPr>
          <w:rFonts w:asciiTheme="minorHAnsi" w:hAnsiTheme="minorHAnsi" w:cstheme="minorHAnsi"/>
        </w:rPr>
      </w:pPr>
    </w:p>
    <w:p w14:paraId="445CFBC7" w14:textId="77777777" w:rsidR="00C8310F" w:rsidRPr="00382FC7" w:rsidRDefault="00AE55A7" w:rsidP="00C8310F">
      <w:pPr>
        <w:numPr>
          <w:ilvl w:val="0"/>
          <w:numId w:val="22"/>
        </w:numPr>
        <w:autoSpaceDE w:val="0"/>
        <w:autoSpaceDN w:val="0"/>
        <w:adjustRightInd w:val="0"/>
        <w:ind w:left="709" w:hanging="283"/>
        <w:rPr>
          <w:rFonts w:cstheme="minorHAnsi"/>
        </w:rPr>
      </w:pPr>
      <w:r w:rsidRPr="00382FC7">
        <w:rPr>
          <w:rFonts w:cstheme="minorHAnsi"/>
        </w:rPr>
        <w:t>Self-reporting may not be used for assessments (e.g. midterm exams, tests, reports, presentations, or essays) worth more than 30% of any given course.</w:t>
      </w:r>
    </w:p>
    <w:p w14:paraId="3E33E639" w14:textId="77777777" w:rsidR="00C8310F" w:rsidRPr="00382FC7" w:rsidRDefault="00C8310F" w:rsidP="00C8310F">
      <w:pPr>
        <w:pStyle w:val="ListParagraph"/>
        <w:rPr>
          <w:rFonts w:asciiTheme="minorHAnsi" w:hAnsiTheme="minorHAnsi" w:cstheme="minorHAnsi"/>
        </w:rPr>
      </w:pPr>
    </w:p>
    <w:p w14:paraId="738B447A" w14:textId="28078A9A" w:rsidR="00AE55A7" w:rsidRPr="00382FC7" w:rsidRDefault="00AE55A7" w:rsidP="00C8310F">
      <w:pPr>
        <w:numPr>
          <w:ilvl w:val="0"/>
          <w:numId w:val="22"/>
        </w:numPr>
        <w:autoSpaceDE w:val="0"/>
        <w:autoSpaceDN w:val="0"/>
        <w:adjustRightInd w:val="0"/>
        <w:ind w:left="709" w:hanging="283"/>
        <w:rPr>
          <w:rFonts w:cstheme="minorHAnsi"/>
        </w:rPr>
      </w:pPr>
      <w:r w:rsidRPr="00382FC7">
        <w:rPr>
          <w:rFonts w:cstheme="minorHAnsi"/>
        </w:rPr>
        <w:t>students must be in touch with their instructors no later than 24 hours after the end of the period covered by the Self-Reported Absence form, to clarify how they will be expected to fulfil the academic expectations they may have missed during the absence</w:t>
      </w:r>
      <w:r w:rsidR="00C8310F" w:rsidRPr="00382FC7">
        <w:rPr>
          <w:rFonts w:cstheme="minorHAnsi"/>
        </w:rPr>
        <w:t>.</w:t>
      </w:r>
    </w:p>
    <w:sectPr w:rsidR="00AE55A7" w:rsidRPr="00382FC7" w:rsidSect="0010440F">
      <w:pgSz w:w="12240" w:h="15840"/>
      <w:pgMar w:top="1440" w:right="1440"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A47"/>
    <w:multiLevelType w:val="hybridMultilevel"/>
    <w:tmpl w:val="F34EC13C"/>
    <w:lvl w:ilvl="0" w:tplc="4E8A81C2">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23B5C"/>
    <w:multiLevelType w:val="hybridMultilevel"/>
    <w:tmpl w:val="CB2E291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A40249"/>
    <w:multiLevelType w:val="hybridMultilevel"/>
    <w:tmpl w:val="FFC850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CB7B25"/>
    <w:multiLevelType w:val="hybridMultilevel"/>
    <w:tmpl w:val="A53205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C55859"/>
    <w:multiLevelType w:val="hybridMultilevel"/>
    <w:tmpl w:val="2102B5B2"/>
    <w:lvl w:ilvl="0" w:tplc="00E00DA0">
      <w:start w:val="1"/>
      <w:numFmt w:val="lowerRoman"/>
      <w:lvlText w:val="%1."/>
      <w:lvlJc w:val="left"/>
      <w:pPr>
        <w:ind w:left="1110" w:hanging="720"/>
      </w:pPr>
      <w:rPr>
        <w:rFonts w:hint="default"/>
      </w:rPr>
    </w:lvl>
    <w:lvl w:ilvl="1" w:tplc="10090019" w:tentative="1">
      <w:start w:val="1"/>
      <w:numFmt w:val="lowerLetter"/>
      <w:lvlText w:val="%2."/>
      <w:lvlJc w:val="left"/>
      <w:pPr>
        <w:ind w:left="1470" w:hanging="360"/>
      </w:pPr>
    </w:lvl>
    <w:lvl w:ilvl="2" w:tplc="1009001B" w:tentative="1">
      <w:start w:val="1"/>
      <w:numFmt w:val="lowerRoman"/>
      <w:lvlText w:val="%3."/>
      <w:lvlJc w:val="right"/>
      <w:pPr>
        <w:ind w:left="2190" w:hanging="180"/>
      </w:pPr>
    </w:lvl>
    <w:lvl w:ilvl="3" w:tplc="1009000F" w:tentative="1">
      <w:start w:val="1"/>
      <w:numFmt w:val="decimal"/>
      <w:lvlText w:val="%4."/>
      <w:lvlJc w:val="left"/>
      <w:pPr>
        <w:ind w:left="2910" w:hanging="360"/>
      </w:pPr>
    </w:lvl>
    <w:lvl w:ilvl="4" w:tplc="10090019" w:tentative="1">
      <w:start w:val="1"/>
      <w:numFmt w:val="lowerLetter"/>
      <w:lvlText w:val="%5."/>
      <w:lvlJc w:val="left"/>
      <w:pPr>
        <w:ind w:left="3630" w:hanging="360"/>
      </w:pPr>
    </w:lvl>
    <w:lvl w:ilvl="5" w:tplc="1009001B" w:tentative="1">
      <w:start w:val="1"/>
      <w:numFmt w:val="lowerRoman"/>
      <w:lvlText w:val="%6."/>
      <w:lvlJc w:val="right"/>
      <w:pPr>
        <w:ind w:left="4350" w:hanging="180"/>
      </w:pPr>
    </w:lvl>
    <w:lvl w:ilvl="6" w:tplc="1009000F" w:tentative="1">
      <w:start w:val="1"/>
      <w:numFmt w:val="decimal"/>
      <w:lvlText w:val="%7."/>
      <w:lvlJc w:val="left"/>
      <w:pPr>
        <w:ind w:left="5070" w:hanging="360"/>
      </w:pPr>
    </w:lvl>
    <w:lvl w:ilvl="7" w:tplc="10090019" w:tentative="1">
      <w:start w:val="1"/>
      <w:numFmt w:val="lowerLetter"/>
      <w:lvlText w:val="%8."/>
      <w:lvlJc w:val="left"/>
      <w:pPr>
        <w:ind w:left="5790" w:hanging="360"/>
      </w:pPr>
    </w:lvl>
    <w:lvl w:ilvl="8" w:tplc="1009001B" w:tentative="1">
      <w:start w:val="1"/>
      <w:numFmt w:val="lowerRoman"/>
      <w:lvlText w:val="%9."/>
      <w:lvlJc w:val="right"/>
      <w:pPr>
        <w:ind w:left="6510" w:hanging="180"/>
      </w:pPr>
    </w:lvl>
  </w:abstractNum>
  <w:abstractNum w:abstractNumId="5" w15:restartNumberingAfterBreak="0">
    <w:nsid w:val="13F557F8"/>
    <w:multiLevelType w:val="hybridMultilevel"/>
    <w:tmpl w:val="DA429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0023B"/>
    <w:multiLevelType w:val="hybridMultilevel"/>
    <w:tmpl w:val="922ABDBA"/>
    <w:lvl w:ilvl="0" w:tplc="EC9A58CA">
      <w:start w:val="1"/>
      <w:numFmt w:val="upperLetter"/>
      <w:lvlText w:val="%1)"/>
      <w:lvlJc w:val="left"/>
      <w:pPr>
        <w:ind w:left="750" w:hanging="360"/>
      </w:pPr>
      <w:rPr>
        <w:rFonts w:hint="default"/>
      </w:rPr>
    </w:lvl>
    <w:lvl w:ilvl="1" w:tplc="10090019" w:tentative="1">
      <w:start w:val="1"/>
      <w:numFmt w:val="lowerLetter"/>
      <w:lvlText w:val="%2."/>
      <w:lvlJc w:val="left"/>
      <w:pPr>
        <w:ind w:left="1470" w:hanging="360"/>
      </w:pPr>
    </w:lvl>
    <w:lvl w:ilvl="2" w:tplc="1009001B" w:tentative="1">
      <w:start w:val="1"/>
      <w:numFmt w:val="lowerRoman"/>
      <w:lvlText w:val="%3."/>
      <w:lvlJc w:val="right"/>
      <w:pPr>
        <w:ind w:left="2190" w:hanging="180"/>
      </w:pPr>
    </w:lvl>
    <w:lvl w:ilvl="3" w:tplc="1009000F" w:tentative="1">
      <w:start w:val="1"/>
      <w:numFmt w:val="decimal"/>
      <w:lvlText w:val="%4."/>
      <w:lvlJc w:val="left"/>
      <w:pPr>
        <w:ind w:left="2910" w:hanging="360"/>
      </w:pPr>
    </w:lvl>
    <w:lvl w:ilvl="4" w:tplc="10090019" w:tentative="1">
      <w:start w:val="1"/>
      <w:numFmt w:val="lowerLetter"/>
      <w:lvlText w:val="%5."/>
      <w:lvlJc w:val="left"/>
      <w:pPr>
        <w:ind w:left="3630" w:hanging="360"/>
      </w:pPr>
    </w:lvl>
    <w:lvl w:ilvl="5" w:tplc="1009001B" w:tentative="1">
      <w:start w:val="1"/>
      <w:numFmt w:val="lowerRoman"/>
      <w:lvlText w:val="%6."/>
      <w:lvlJc w:val="right"/>
      <w:pPr>
        <w:ind w:left="4350" w:hanging="180"/>
      </w:pPr>
    </w:lvl>
    <w:lvl w:ilvl="6" w:tplc="1009000F" w:tentative="1">
      <w:start w:val="1"/>
      <w:numFmt w:val="decimal"/>
      <w:lvlText w:val="%7."/>
      <w:lvlJc w:val="left"/>
      <w:pPr>
        <w:ind w:left="5070" w:hanging="360"/>
      </w:pPr>
    </w:lvl>
    <w:lvl w:ilvl="7" w:tplc="10090019" w:tentative="1">
      <w:start w:val="1"/>
      <w:numFmt w:val="lowerLetter"/>
      <w:lvlText w:val="%8."/>
      <w:lvlJc w:val="left"/>
      <w:pPr>
        <w:ind w:left="5790" w:hanging="360"/>
      </w:pPr>
    </w:lvl>
    <w:lvl w:ilvl="8" w:tplc="1009001B" w:tentative="1">
      <w:start w:val="1"/>
      <w:numFmt w:val="lowerRoman"/>
      <w:lvlText w:val="%9."/>
      <w:lvlJc w:val="right"/>
      <w:pPr>
        <w:ind w:left="6510" w:hanging="180"/>
      </w:pPr>
    </w:lvl>
  </w:abstractNum>
  <w:abstractNum w:abstractNumId="7" w15:restartNumberingAfterBreak="0">
    <w:nsid w:val="163942E3"/>
    <w:multiLevelType w:val="hybridMultilevel"/>
    <w:tmpl w:val="A56EF61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18B92C64"/>
    <w:multiLevelType w:val="hybridMultilevel"/>
    <w:tmpl w:val="6B120424"/>
    <w:lvl w:ilvl="0" w:tplc="4E8A81C2">
      <w:start w:val="2"/>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1D6D1497"/>
    <w:multiLevelType w:val="hybridMultilevel"/>
    <w:tmpl w:val="53C072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B785B60"/>
    <w:multiLevelType w:val="hybridMultilevel"/>
    <w:tmpl w:val="AAD42168"/>
    <w:lvl w:ilvl="0" w:tplc="87287CEA">
      <w:numFmt w:val="bullet"/>
      <w:lvlText w:val="-"/>
      <w:lvlJc w:val="left"/>
      <w:pPr>
        <w:ind w:left="720" w:hanging="360"/>
      </w:pPr>
      <w:rPr>
        <w:rFonts w:ascii="Cambria" w:eastAsiaTheme="minorHAnsi" w:hAnsi="Cambria"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34282501"/>
    <w:multiLevelType w:val="hybridMultilevel"/>
    <w:tmpl w:val="9970D1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4B00979"/>
    <w:multiLevelType w:val="hybridMultilevel"/>
    <w:tmpl w:val="788ADFEE"/>
    <w:lvl w:ilvl="0" w:tplc="FEEAEF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7A0A52"/>
    <w:multiLevelType w:val="hybridMultilevel"/>
    <w:tmpl w:val="F33C0C2E"/>
    <w:lvl w:ilvl="0" w:tplc="71A68926">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A8C5B19"/>
    <w:multiLevelType w:val="hybridMultilevel"/>
    <w:tmpl w:val="315CFE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342D55"/>
    <w:multiLevelType w:val="hybridMultilevel"/>
    <w:tmpl w:val="D3D893D8"/>
    <w:lvl w:ilvl="0" w:tplc="43AC6BB8">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52571ED"/>
    <w:multiLevelType w:val="hybridMultilevel"/>
    <w:tmpl w:val="BF4693C0"/>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476C32F5"/>
    <w:multiLevelType w:val="hybridMultilevel"/>
    <w:tmpl w:val="49AA8B6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B57175B"/>
    <w:multiLevelType w:val="hybridMultilevel"/>
    <w:tmpl w:val="20F24578"/>
    <w:lvl w:ilvl="0" w:tplc="76122B3C">
      <w:start w:val="2"/>
      <w:numFmt w:val="bullet"/>
      <w:lvlText w:val="-"/>
      <w:lvlJc w:val="left"/>
      <w:pPr>
        <w:ind w:left="720" w:hanging="360"/>
      </w:pPr>
      <w:rPr>
        <w:rFonts w:ascii="Calibri" w:eastAsiaTheme="minorHAnsi"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D4A4F59"/>
    <w:multiLevelType w:val="hybridMultilevel"/>
    <w:tmpl w:val="3BF473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1FC6A54"/>
    <w:multiLevelType w:val="hybridMultilevel"/>
    <w:tmpl w:val="BEA8B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2293A09"/>
    <w:multiLevelType w:val="hybridMultilevel"/>
    <w:tmpl w:val="6DE20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0824E1"/>
    <w:multiLevelType w:val="hybridMultilevel"/>
    <w:tmpl w:val="F81A85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37E4188"/>
    <w:multiLevelType w:val="hybridMultilevel"/>
    <w:tmpl w:val="886C4068"/>
    <w:lvl w:ilvl="0" w:tplc="1486D70C">
      <w:start w:val="7"/>
      <w:numFmt w:val="bullet"/>
      <w:lvlText w:val="-"/>
      <w:lvlJc w:val="left"/>
      <w:pPr>
        <w:ind w:left="720" w:hanging="360"/>
      </w:pPr>
      <w:rPr>
        <w:rFonts w:ascii="Calibri" w:eastAsiaTheme="minorHAnsi" w:hAnsi="Calibri" w:cs="Cambri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B7E4994"/>
    <w:multiLevelType w:val="hybridMultilevel"/>
    <w:tmpl w:val="0C4ADE30"/>
    <w:lvl w:ilvl="0" w:tplc="76122B3C">
      <w:start w:val="2"/>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69B27B9"/>
    <w:multiLevelType w:val="hybridMultilevel"/>
    <w:tmpl w:val="99189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1D30DD"/>
    <w:multiLevelType w:val="hybridMultilevel"/>
    <w:tmpl w:val="50ECFC1A"/>
    <w:lvl w:ilvl="0" w:tplc="4E8A81C2">
      <w:start w:val="2"/>
      <w:numFmt w:val="bullet"/>
      <w:lvlText w:val="-"/>
      <w:lvlJc w:val="left"/>
      <w:pPr>
        <w:ind w:left="720" w:hanging="360"/>
      </w:pPr>
      <w:rPr>
        <w:rFonts w:ascii="Calibri" w:eastAsiaTheme="minorHAnsi"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F414EB5"/>
    <w:multiLevelType w:val="hybridMultilevel"/>
    <w:tmpl w:val="49AA8B6A"/>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78313F3B"/>
    <w:multiLevelType w:val="hybridMultilevel"/>
    <w:tmpl w:val="3F5CF7B4"/>
    <w:lvl w:ilvl="0" w:tplc="9CE4694E">
      <w:start w:val="1"/>
      <w:numFmt w:val="lowerLetter"/>
      <w:lvlText w:val="%1."/>
      <w:lvlJc w:val="left"/>
      <w:pPr>
        <w:ind w:left="1244" w:hanging="360"/>
      </w:pPr>
      <w:rPr>
        <w:rFonts w:hint="default"/>
      </w:rPr>
    </w:lvl>
    <w:lvl w:ilvl="1" w:tplc="10090019">
      <w:start w:val="1"/>
      <w:numFmt w:val="lowerLetter"/>
      <w:lvlText w:val="%2."/>
      <w:lvlJc w:val="left"/>
      <w:pPr>
        <w:ind w:left="1964" w:hanging="360"/>
      </w:pPr>
    </w:lvl>
    <w:lvl w:ilvl="2" w:tplc="1009001B" w:tentative="1">
      <w:start w:val="1"/>
      <w:numFmt w:val="lowerRoman"/>
      <w:lvlText w:val="%3."/>
      <w:lvlJc w:val="right"/>
      <w:pPr>
        <w:ind w:left="2684" w:hanging="180"/>
      </w:pPr>
    </w:lvl>
    <w:lvl w:ilvl="3" w:tplc="1009000F" w:tentative="1">
      <w:start w:val="1"/>
      <w:numFmt w:val="decimal"/>
      <w:lvlText w:val="%4."/>
      <w:lvlJc w:val="left"/>
      <w:pPr>
        <w:ind w:left="3404" w:hanging="360"/>
      </w:pPr>
    </w:lvl>
    <w:lvl w:ilvl="4" w:tplc="10090019" w:tentative="1">
      <w:start w:val="1"/>
      <w:numFmt w:val="lowerLetter"/>
      <w:lvlText w:val="%5."/>
      <w:lvlJc w:val="left"/>
      <w:pPr>
        <w:ind w:left="4124" w:hanging="360"/>
      </w:pPr>
    </w:lvl>
    <w:lvl w:ilvl="5" w:tplc="1009001B" w:tentative="1">
      <w:start w:val="1"/>
      <w:numFmt w:val="lowerRoman"/>
      <w:lvlText w:val="%6."/>
      <w:lvlJc w:val="right"/>
      <w:pPr>
        <w:ind w:left="4844" w:hanging="180"/>
      </w:pPr>
    </w:lvl>
    <w:lvl w:ilvl="6" w:tplc="1009000F" w:tentative="1">
      <w:start w:val="1"/>
      <w:numFmt w:val="decimal"/>
      <w:lvlText w:val="%7."/>
      <w:lvlJc w:val="left"/>
      <w:pPr>
        <w:ind w:left="5564" w:hanging="360"/>
      </w:pPr>
    </w:lvl>
    <w:lvl w:ilvl="7" w:tplc="10090019" w:tentative="1">
      <w:start w:val="1"/>
      <w:numFmt w:val="lowerLetter"/>
      <w:lvlText w:val="%8."/>
      <w:lvlJc w:val="left"/>
      <w:pPr>
        <w:ind w:left="6284" w:hanging="360"/>
      </w:pPr>
    </w:lvl>
    <w:lvl w:ilvl="8" w:tplc="1009001B" w:tentative="1">
      <w:start w:val="1"/>
      <w:numFmt w:val="lowerRoman"/>
      <w:lvlText w:val="%9."/>
      <w:lvlJc w:val="right"/>
      <w:pPr>
        <w:ind w:left="7004" w:hanging="180"/>
      </w:pPr>
    </w:lvl>
  </w:abstractNum>
  <w:abstractNum w:abstractNumId="29" w15:restartNumberingAfterBreak="0">
    <w:nsid w:val="7A6432F0"/>
    <w:multiLevelType w:val="hybridMultilevel"/>
    <w:tmpl w:val="69E4AE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861249"/>
    <w:multiLevelType w:val="hybridMultilevel"/>
    <w:tmpl w:val="77381C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FF80F87"/>
    <w:multiLevelType w:val="hybridMultilevel"/>
    <w:tmpl w:val="1CA4096C"/>
    <w:lvl w:ilvl="0" w:tplc="D4F08C9E">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26"/>
  </w:num>
  <w:num w:numId="4">
    <w:abstractNumId w:val="18"/>
  </w:num>
  <w:num w:numId="5">
    <w:abstractNumId w:val="11"/>
  </w:num>
  <w:num w:numId="6">
    <w:abstractNumId w:val="27"/>
  </w:num>
  <w:num w:numId="7">
    <w:abstractNumId w:val="17"/>
  </w:num>
  <w:num w:numId="8">
    <w:abstractNumId w:val="1"/>
  </w:num>
  <w:num w:numId="9">
    <w:abstractNumId w:val="20"/>
  </w:num>
  <w:num w:numId="10">
    <w:abstractNumId w:val="23"/>
  </w:num>
  <w:num w:numId="11">
    <w:abstractNumId w:val="8"/>
  </w:num>
  <w:num w:numId="12">
    <w:abstractNumId w:val="16"/>
  </w:num>
  <w:num w:numId="13">
    <w:abstractNumId w:val="25"/>
  </w:num>
  <w:num w:numId="14">
    <w:abstractNumId w:val="30"/>
  </w:num>
  <w:num w:numId="15">
    <w:abstractNumId w:val="9"/>
  </w:num>
  <w:num w:numId="16">
    <w:abstractNumId w:val="5"/>
  </w:num>
  <w:num w:numId="17">
    <w:abstractNumId w:val="0"/>
  </w:num>
  <w:num w:numId="18">
    <w:abstractNumId w:val="15"/>
  </w:num>
  <w:num w:numId="19">
    <w:abstractNumId w:val="22"/>
  </w:num>
  <w:num w:numId="20">
    <w:abstractNumId w:val="6"/>
  </w:num>
  <w:num w:numId="21">
    <w:abstractNumId w:val="4"/>
  </w:num>
  <w:num w:numId="22">
    <w:abstractNumId w:val="28"/>
  </w:num>
  <w:num w:numId="23">
    <w:abstractNumId w:val="10"/>
  </w:num>
  <w:num w:numId="24">
    <w:abstractNumId w:val="13"/>
  </w:num>
  <w:num w:numId="25">
    <w:abstractNumId w:val="3"/>
  </w:num>
  <w:num w:numId="26">
    <w:abstractNumId w:val="2"/>
  </w:num>
  <w:num w:numId="27">
    <w:abstractNumId w:val="21"/>
  </w:num>
  <w:num w:numId="28">
    <w:abstractNumId w:val="29"/>
  </w:num>
  <w:num w:numId="29">
    <w:abstractNumId w:val="14"/>
  </w:num>
  <w:num w:numId="30">
    <w:abstractNumId w:val="31"/>
  </w:num>
  <w:num w:numId="31">
    <w:abstractNumId w:val="24"/>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8DD"/>
    <w:rsid w:val="00023D86"/>
    <w:rsid w:val="000622F8"/>
    <w:rsid w:val="00073EB8"/>
    <w:rsid w:val="00081555"/>
    <w:rsid w:val="000A3355"/>
    <w:rsid w:val="000A742E"/>
    <w:rsid w:val="000B5C2A"/>
    <w:rsid w:val="000E468F"/>
    <w:rsid w:val="0010440F"/>
    <w:rsid w:val="001069C1"/>
    <w:rsid w:val="00113985"/>
    <w:rsid w:val="00127375"/>
    <w:rsid w:val="001413F7"/>
    <w:rsid w:val="00151DAF"/>
    <w:rsid w:val="00165A7E"/>
    <w:rsid w:val="00165C3F"/>
    <w:rsid w:val="00181EA4"/>
    <w:rsid w:val="00182387"/>
    <w:rsid w:val="001B1DCA"/>
    <w:rsid w:val="001B7253"/>
    <w:rsid w:val="001D4B3F"/>
    <w:rsid w:val="001D7529"/>
    <w:rsid w:val="001E5999"/>
    <w:rsid w:val="001F5805"/>
    <w:rsid w:val="00204C8E"/>
    <w:rsid w:val="0020639E"/>
    <w:rsid w:val="0023612B"/>
    <w:rsid w:val="00264AFD"/>
    <w:rsid w:val="00276A87"/>
    <w:rsid w:val="0027757E"/>
    <w:rsid w:val="00290CD0"/>
    <w:rsid w:val="002B270D"/>
    <w:rsid w:val="002C0014"/>
    <w:rsid w:val="002C2698"/>
    <w:rsid w:val="002C35AF"/>
    <w:rsid w:val="002E57E8"/>
    <w:rsid w:val="002F00A3"/>
    <w:rsid w:val="002F4E72"/>
    <w:rsid w:val="00306E03"/>
    <w:rsid w:val="00310E9D"/>
    <w:rsid w:val="00330957"/>
    <w:rsid w:val="0034066E"/>
    <w:rsid w:val="00356955"/>
    <w:rsid w:val="00365C83"/>
    <w:rsid w:val="00375CB9"/>
    <w:rsid w:val="00375CFC"/>
    <w:rsid w:val="003822F6"/>
    <w:rsid w:val="00382FC7"/>
    <w:rsid w:val="003A6E97"/>
    <w:rsid w:val="003B6979"/>
    <w:rsid w:val="003C07A4"/>
    <w:rsid w:val="003D13E9"/>
    <w:rsid w:val="003D721B"/>
    <w:rsid w:val="003E18AE"/>
    <w:rsid w:val="003E66B6"/>
    <w:rsid w:val="003F2997"/>
    <w:rsid w:val="004019DB"/>
    <w:rsid w:val="004067DA"/>
    <w:rsid w:val="004167CF"/>
    <w:rsid w:val="00436A3C"/>
    <w:rsid w:val="00454EB2"/>
    <w:rsid w:val="00472103"/>
    <w:rsid w:val="0049278F"/>
    <w:rsid w:val="00493A27"/>
    <w:rsid w:val="004A09FF"/>
    <w:rsid w:val="004E55DF"/>
    <w:rsid w:val="005073B1"/>
    <w:rsid w:val="00532230"/>
    <w:rsid w:val="00572C24"/>
    <w:rsid w:val="005955E1"/>
    <w:rsid w:val="005B247B"/>
    <w:rsid w:val="005B6F47"/>
    <w:rsid w:val="005C0FDB"/>
    <w:rsid w:val="005C47D6"/>
    <w:rsid w:val="005F7194"/>
    <w:rsid w:val="00605DB2"/>
    <w:rsid w:val="0061087D"/>
    <w:rsid w:val="006224B1"/>
    <w:rsid w:val="00623F6C"/>
    <w:rsid w:val="00635544"/>
    <w:rsid w:val="006431F8"/>
    <w:rsid w:val="00643947"/>
    <w:rsid w:val="006457D1"/>
    <w:rsid w:val="00660D7B"/>
    <w:rsid w:val="00662CEF"/>
    <w:rsid w:val="0067008D"/>
    <w:rsid w:val="006712CC"/>
    <w:rsid w:val="00692CD7"/>
    <w:rsid w:val="006D187E"/>
    <w:rsid w:val="006D4D1E"/>
    <w:rsid w:val="006D5027"/>
    <w:rsid w:val="006D50B1"/>
    <w:rsid w:val="006F14C4"/>
    <w:rsid w:val="00706F93"/>
    <w:rsid w:val="00731AE8"/>
    <w:rsid w:val="007461A5"/>
    <w:rsid w:val="007563B5"/>
    <w:rsid w:val="0076037B"/>
    <w:rsid w:val="00765574"/>
    <w:rsid w:val="00767C63"/>
    <w:rsid w:val="007725BA"/>
    <w:rsid w:val="007957D0"/>
    <w:rsid w:val="007A5CAC"/>
    <w:rsid w:val="007A6B73"/>
    <w:rsid w:val="007C688F"/>
    <w:rsid w:val="007D56A4"/>
    <w:rsid w:val="007F15DA"/>
    <w:rsid w:val="007F215E"/>
    <w:rsid w:val="007F5350"/>
    <w:rsid w:val="00817007"/>
    <w:rsid w:val="008201AB"/>
    <w:rsid w:val="0084584B"/>
    <w:rsid w:val="00866BC8"/>
    <w:rsid w:val="00867A37"/>
    <w:rsid w:val="008728BA"/>
    <w:rsid w:val="00874010"/>
    <w:rsid w:val="008969D9"/>
    <w:rsid w:val="008A439A"/>
    <w:rsid w:val="008D3805"/>
    <w:rsid w:val="008E41E6"/>
    <w:rsid w:val="008F5ACB"/>
    <w:rsid w:val="00912D5C"/>
    <w:rsid w:val="009220B8"/>
    <w:rsid w:val="009302CE"/>
    <w:rsid w:val="0093364B"/>
    <w:rsid w:val="00935F62"/>
    <w:rsid w:val="00947D66"/>
    <w:rsid w:val="009600CD"/>
    <w:rsid w:val="00982813"/>
    <w:rsid w:val="0098465F"/>
    <w:rsid w:val="00991995"/>
    <w:rsid w:val="009B0086"/>
    <w:rsid w:val="009C0015"/>
    <w:rsid w:val="009C6621"/>
    <w:rsid w:val="009D023D"/>
    <w:rsid w:val="00A12771"/>
    <w:rsid w:val="00A31018"/>
    <w:rsid w:val="00A44157"/>
    <w:rsid w:val="00A4719B"/>
    <w:rsid w:val="00A75786"/>
    <w:rsid w:val="00A95648"/>
    <w:rsid w:val="00A965EB"/>
    <w:rsid w:val="00AE158D"/>
    <w:rsid w:val="00AE55A7"/>
    <w:rsid w:val="00B01917"/>
    <w:rsid w:val="00B131BF"/>
    <w:rsid w:val="00B20577"/>
    <w:rsid w:val="00B4313A"/>
    <w:rsid w:val="00B74129"/>
    <w:rsid w:val="00B76815"/>
    <w:rsid w:val="00B771D3"/>
    <w:rsid w:val="00B81E8F"/>
    <w:rsid w:val="00B85B03"/>
    <w:rsid w:val="00B96253"/>
    <w:rsid w:val="00B97A1B"/>
    <w:rsid w:val="00BB0685"/>
    <w:rsid w:val="00BB2BB6"/>
    <w:rsid w:val="00BB48BF"/>
    <w:rsid w:val="00BB5287"/>
    <w:rsid w:val="00BB6257"/>
    <w:rsid w:val="00BC3913"/>
    <w:rsid w:val="00BE4D11"/>
    <w:rsid w:val="00BF3461"/>
    <w:rsid w:val="00BF6609"/>
    <w:rsid w:val="00C12794"/>
    <w:rsid w:val="00C22742"/>
    <w:rsid w:val="00C25AB5"/>
    <w:rsid w:val="00C459D3"/>
    <w:rsid w:val="00C62E14"/>
    <w:rsid w:val="00C66EE5"/>
    <w:rsid w:val="00C77705"/>
    <w:rsid w:val="00C812A9"/>
    <w:rsid w:val="00C8289D"/>
    <w:rsid w:val="00C8310F"/>
    <w:rsid w:val="00C93AA2"/>
    <w:rsid w:val="00CB46FC"/>
    <w:rsid w:val="00CD14B5"/>
    <w:rsid w:val="00CE02E6"/>
    <w:rsid w:val="00CE117C"/>
    <w:rsid w:val="00CE78DD"/>
    <w:rsid w:val="00CF75DA"/>
    <w:rsid w:val="00D016B2"/>
    <w:rsid w:val="00D02B0C"/>
    <w:rsid w:val="00D121D8"/>
    <w:rsid w:val="00D15B84"/>
    <w:rsid w:val="00D22B97"/>
    <w:rsid w:val="00D50B22"/>
    <w:rsid w:val="00D565D9"/>
    <w:rsid w:val="00D67453"/>
    <w:rsid w:val="00D70508"/>
    <w:rsid w:val="00D80799"/>
    <w:rsid w:val="00D84443"/>
    <w:rsid w:val="00D90A0F"/>
    <w:rsid w:val="00DA5C8D"/>
    <w:rsid w:val="00DC00EC"/>
    <w:rsid w:val="00DC10A4"/>
    <w:rsid w:val="00DF47BE"/>
    <w:rsid w:val="00DF51A0"/>
    <w:rsid w:val="00E43334"/>
    <w:rsid w:val="00E56F00"/>
    <w:rsid w:val="00E6187D"/>
    <w:rsid w:val="00E70CBD"/>
    <w:rsid w:val="00E83427"/>
    <w:rsid w:val="00EB48F9"/>
    <w:rsid w:val="00EC0A35"/>
    <w:rsid w:val="00EC4D04"/>
    <w:rsid w:val="00F36983"/>
    <w:rsid w:val="00F36DEF"/>
    <w:rsid w:val="00F503C7"/>
    <w:rsid w:val="00F61528"/>
    <w:rsid w:val="00F65895"/>
    <w:rsid w:val="00F77BA7"/>
    <w:rsid w:val="00F96797"/>
    <w:rsid w:val="00FA209B"/>
    <w:rsid w:val="00FB3E52"/>
    <w:rsid w:val="00FC0F4F"/>
    <w:rsid w:val="00FC1D79"/>
  </w:rsids>
  <m:mathPr>
    <m:mathFont m:val="Cambria Math"/>
    <m:brkBin m:val="before"/>
    <m:brkBinSub m:val="--"/>
    <m:smallFrac m:val="0"/>
    <m:dispDef/>
    <m:lMargin m:val="0"/>
    <m:rMargin m:val="0"/>
    <m:defJc m:val="centerGroup"/>
    <m:wrapIndent m:val="1440"/>
    <m:intLim m:val="subSup"/>
    <m:naryLim m:val="undOvr"/>
  </m:mathPr>
  <w:themeFontLang w:val="en-CA"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964EA"/>
  <w15:docId w15:val="{721092D0-C7B7-406B-8F1D-8C9274873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3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DEF"/>
    <w:rPr>
      <w:rFonts w:ascii="Tahoma" w:hAnsi="Tahoma" w:cs="Tahoma"/>
      <w:sz w:val="16"/>
      <w:szCs w:val="16"/>
    </w:rPr>
  </w:style>
  <w:style w:type="character" w:customStyle="1" w:styleId="BalloonTextChar">
    <w:name w:val="Balloon Text Char"/>
    <w:basedOn w:val="DefaultParagraphFont"/>
    <w:link w:val="BalloonText"/>
    <w:uiPriority w:val="99"/>
    <w:semiHidden/>
    <w:rsid w:val="00F36DEF"/>
    <w:rPr>
      <w:rFonts w:ascii="Tahoma" w:hAnsi="Tahoma" w:cs="Tahoma"/>
      <w:sz w:val="16"/>
      <w:szCs w:val="16"/>
    </w:rPr>
  </w:style>
  <w:style w:type="character" w:styleId="Hyperlink">
    <w:name w:val="Hyperlink"/>
    <w:uiPriority w:val="99"/>
    <w:rsid w:val="00F36DEF"/>
    <w:rPr>
      <w:color w:val="0000FF"/>
      <w:u w:val="single"/>
    </w:rPr>
  </w:style>
  <w:style w:type="paragraph" w:styleId="ListParagraph">
    <w:name w:val="List Paragraph"/>
    <w:basedOn w:val="Normal"/>
    <w:uiPriority w:val="34"/>
    <w:qFormat/>
    <w:rsid w:val="00F36DEF"/>
    <w:pPr>
      <w:ind w:left="720"/>
      <w:contextualSpacing/>
    </w:pPr>
    <w:rPr>
      <w:rFonts w:ascii="Gill Sans MT" w:eastAsia="Calibri" w:hAnsi="Gill Sans MT" w:cs="Times New Roman"/>
    </w:rPr>
  </w:style>
  <w:style w:type="paragraph" w:styleId="NoSpacing">
    <w:name w:val="No Spacing"/>
    <w:uiPriority w:val="1"/>
    <w:qFormat/>
    <w:rsid w:val="00D565D9"/>
  </w:style>
  <w:style w:type="paragraph" w:customStyle="1" w:styleId="Default">
    <w:name w:val="Default"/>
    <w:rsid w:val="007A5CAC"/>
    <w:pPr>
      <w:autoSpaceDE w:val="0"/>
      <w:autoSpaceDN w:val="0"/>
      <w:adjustRightInd w:val="0"/>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635544"/>
    <w:rPr>
      <w:sz w:val="16"/>
      <w:szCs w:val="16"/>
    </w:rPr>
  </w:style>
  <w:style w:type="paragraph" w:styleId="CommentText">
    <w:name w:val="annotation text"/>
    <w:basedOn w:val="Normal"/>
    <w:link w:val="CommentTextChar"/>
    <w:uiPriority w:val="99"/>
    <w:semiHidden/>
    <w:unhideWhenUsed/>
    <w:rsid w:val="00635544"/>
    <w:rPr>
      <w:sz w:val="20"/>
      <w:szCs w:val="20"/>
    </w:rPr>
  </w:style>
  <w:style w:type="character" w:customStyle="1" w:styleId="CommentTextChar">
    <w:name w:val="Comment Text Char"/>
    <w:basedOn w:val="DefaultParagraphFont"/>
    <w:link w:val="CommentText"/>
    <w:uiPriority w:val="99"/>
    <w:semiHidden/>
    <w:rsid w:val="00635544"/>
    <w:rPr>
      <w:sz w:val="20"/>
      <w:szCs w:val="20"/>
    </w:rPr>
  </w:style>
  <w:style w:type="paragraph" w:styleId="CommentSubject">
    <w:name w:val="annotation subject"/>
    <w:basedOn w:val="CommentText"/>
    <w:next w:val="CommentText"/>
    <w:link w:val="CommentSubjectChar"/>
    <w:uiPriority w:val="99"/>
    <w:semiHidden/>
    <w:unhideWhenUsed/>
    <w:rsid w:val="00635544"/>
    <w:rPr>
      <w:b/>
      <w:bCs/>
    </w:rPr>
  </w:style>
  <w:style w:type="character" w:customStyle="1" w:styleId="CommentSubjectChar">
    <w:name w:val="Comment Subject Char"/>
    <w:basedOn w:val="CommentTextChar"/>
    <w:link w:val="CommentSubject"/>
    <w:uiPriority w:val="99"/>
    <w:semiHidden/>
    <w:rsid w:val="00635544"/>
    <w:rPr>
      <w:b/>
      <w:bCs/>
      <w:sz w:val="20"/>
      <w:szCs w:val="20"/>
    </w:rPr>
  </w:style>
  <w:style w:type="character" w:customStyle="1" w:styleId="UnresolvedMention">
    <w:name w:val="Unresolved Mention"/>
    <w:basedOn w:val="DefaultParagraphFont"/>
    <w:uiPriority w:val="99"/>
    <w:semiHidden/>
    <w:unhideWhenUsed/>
    <w:rsid w:val="000B5C2A"/>
    <w:rPr>
      <w:color w:val="605E5C"/>
      <w:shd w:val="clear" w:color="auto" w:fill="E1DFDD"/>
    </w:rPr>
  </w:style>
  <w:style w:type="character" w:styleId="FollowedHyperlink">
    <w:name w:val="FollowedHyperlink"/>
    <w:basedOn w:val="DefaultParagraphFont"/>
    <w:uiPriority w:val="99"/>
    <w:semiHidden/>
    <w:unhideWhenUsed/>
    <w:rsid w:val="00D02B0C"/>
    <w:rPr>
      <w:color w:val="800080" w:themeColor="followedHyperlink"/>
      <w:u w:val="single"/>
    </w:rPr>
  </w:style>
  <w:style w:type="paragraph" w:customStyle="1" w:styleId="xmsonormal">
    <w:name w:val="x_msonormal"/>
    <w:basedOn w:val="Normal"/>
    <w:rsid w:val="00D70508"/>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79611">
      <w:bodyDiv w:val="1"/>
      <w:marLeft w:val="0"/>
      <w:marRight w:val="0"/>
      <w:marTop w:val="0"/>
      <w:marBottom w:val="0"/>
      <w:divBdr>
        <w:top w:val="none" w:sz="0" w:space="0" w:color="auto"/>
        <w:left w:val="none" w:sz="0" w:space="0" w:color="auto"/>
        <w:bottom w:val="none" w:sz="0" w:space="0" w:color="auto"/>
        <w:right w:val="none" w:sz="0" w:space="0" w:color="auto"/>
      </w:divBdr>
    </w:div>
    <w:div w:id="365180446">
      <w:bodyDiv w:val="1"/>
      <w:marLeft w:val="0"/>
      <w:marRight w:val="0"/>
      <w:marTop w:val="0"/>
      <w:marBottom w:val="0"/>
      <w:divBdr>
        <w:top w:val="none" w:sz="0" w:space="0" w:color="auto"/>
        <w:left w:val="none" w:sz="0" w:space="0" w:color="auto"/>
        <w:bottom w:val="none" w:sz="0" w:space="0" w:color="auto"/>
        <w:right w:val="none" w:sz="0" w:space="0" w:color="auto"/>
      </w:divBdr>
    </w:div>
    <w:div w:id="1217355295">
      <w:bodyDiv w:val="1"/>
      <w:marLeft w:val="0"/>
      <w:marRight w:val="0"/>
      <w:marTop w:val="0"/>
      <w:marBottom w:val="0"/>
      <w:divBdr>
        <w:top w:val="none" w:sz="0" w:space="0" w:color="auto"/>
        <w:left w:val="none" w:sz="0" w:space="0" w:color="auto"/>
        <w:bottom w:val="none" w:sz="0" w:space="0" w:color="auto"/>
        <w:right w:val="none" w:sz="0" w:space="0" w:color="auto"/>
      </w:divBdr>
    </w:div>
    <w:div w:id="194060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lam-science.net/islam-and-extraterrestrial-life-2908/" TargetMode="External"/><Relationship Id="rId13" Type="http://schemas.openxmlformats.org/officeDocument/2006/relationships/hyperlink" Target="http://hartsem.edu/new_forms/GeneralGuidelinesforResearchPaper.pdf" TargetMode="External"/><Relationship Id="rId18" Type="http://schemas.openxmlformats.org/officeDocument/2006/relationships/hyperlink" Target="https://www.uwo.ca/univsec/pdf/academic_policies/appeals/Academic_Consideration_for_absences.pdf" TargetMode="External"/><Relationship Id="rId3" Type="http://schemas.openxmlformats.org/officeDocument/2006/relationships/settings" Target="settings.xml"/><Relationship Id="rId7" Type="http://schemas.openxmlformats.org/officeDocument/2006/relationships/hyperlink" Target="https://iranicaonline.org/articles/eblis" TargetMode="External"/><Relationship Id="rId12" Type="http://schemas.openxmlformats.org/officeDocument/2006/relationships/hyperlink" Target="http://www.collegeathome.com/articles/evaluating-online-information/" TargetMode="External"/><Relationship Id="rId17" Type="http://schemas.openxmlformats.org/officeDocument/2006/relationships/hyperlink" Target="https://www.uwo.ca/univsec/pdf/academic_policies/appeals/Academic_Consideration_for_absences.pdf" TargetMode="External"/><Relationship Id="rId2" Type="http://schemas.openxmlformats.org/officeDocument/2006/relationships/styles" Target="styles.xml"/><Relationship Id="rId16" Type="http://schemas.openxmlformats.org/officeDocument/2006/relationships/hyperlink" Target="http://www.uwo.ca/uwocom/mentalhealt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mattson@uwo.ca" TargetMode="External"/><Relationship Id="rId11" Type="http://schemas.openxmlformats.org/officeDocument/2006/relationships/hyperlink" Target="http://en.wikipedia.org/wiki/Wikipedia:Training/For_Ambassadors/Verifiability" TargetMode="External"/><Relationship Id="rId5" Type="http://schemas.openxmlformats.org/officeDocument/2006/relationships/image" Target="media/image1.jpeg"/><Relationship Id="rId15" Type="http://schemas.openxmlformats.org/officeDocument/2006/relationships/hyperlink" Target="http://www.huronuc.on.ca" TargetMode="External"/><Relationship Id="rId10" Type="http://schemas.openxmlformats.org/officeDocument/2006/relationships/hyperlink" Target="http://en.wikipedia.org/wiki/Wikipedia%3ANeutral_point_of_vie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eb.gc.cuny.edu/ijmes/pages/transliteration.html" TargetMode="External"/><Relationship Id="rId14" Type="http://schemas.openxmlformats.org/officeDocument/2006/relationships/hyperlink" Target="http://web.gc.cuny.edu/ijmes/pages/transliter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4008</Words>
  <Characters>20846</Characters>
  <Application>Microsoft Office Word</Application>
  <DocSecurity>0</DocSecurity>
  <Lines>496</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imattson</dc:creator>
  <cp:lastModifiedBy>Sandra Rice</cp:lastModifiedBy>
  <cp:revision>2</cp:revision>
  <dcterms:created xsi:type="dcterms:W3CDTF">2022-01-21T19:44:00Z</dcterms:created>
  <dcterms:modified xsi:type="dcterms:W3CDTF">2022-01-21T19:44:00Z</dcterms:modified>
</cp:coreProperties>
</file>